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9" w:type="dxa"/>
        <w:tblInd w:w="-1219" w:type="dxa"/>
        <w:tblLayout w:type="fixed"/>
        <w:tblLook w:val="01E0" w:firstRow="1" w:lastRow="1" w:firstColumn="1" w:lastColumn="1" w:noHBand="0" w:noVBand="0"/>
      </w:tblPr>
      <w:tblGrid>
        <w:gridCol w:w="1219"/>
        <w:gridCol w:w="5755"/>
        <w:gridCol w:w="510"/>
        <w:gridCol w:w="3175"/>
      </w:tblGrid>
      <w:tr w:rsidR="00A13690" w14:paraId="4C63DC8F" w14:textId="77777777" w:rsidTr="00360739">
        <w:trPr>
          <w:cantSplit/>
          <w:trHeight w:val="567"/>
        </w:trPr>
        <w:tc>
          <w:tcPr>
            <w:tcW w:w="1219" w:type="dxa"/>
          </w:tcPr>
          <w:p w14:paraId="43658944" w14:textId="77777777" w:rsidR="00A13690" w:rsidRDefault="00A13690" w:rsidP="00A13690">
            <w:pPr>
              <w:pStyle w:val="HMCTSnormal"/>
            </w:pPr>
            <w:bookmarkStart w:id="0" w:name="_GoBack"/>
            <w:bookmarkEnd w:id="0"/>
          </w:p>
        </w:tc>
        <w:tc>
          <w:tcPr>
            <w:tcW w:w="5755" w:type="dxa"/>
          </w:tcPr>
          <w:p w14:paraId="294FD996" w14:textId="77777777" w:rsidR="00A13690" w:rsidRDefault="00A13690" w:rsidP="00A13690">
            <w:pPr>
              <w:pStyle w:val="HMCTSnormal"/>
            </w:pPr>
          </w:p>
        </w:tc>
        <w:tc>
          <w:tcPr>
            <w:tcW w:w="510" w:type="dxa"/>
          </w:tcPr>
          <w:p w14:paraId="775B07D6" w14:textId="77777777" w:rsidR="00A13690" w:rsidRDefault="00A13690" w:rsidP="00A13690">
            <w:pPr>
              <w:pStyle w:val="HMCTSnormal"/>
            </w:pPr>
          </w:p>
        </w:tc>
        <w:tc>
          <w:tcPr>
            <w:tcW w:w="3175" w:type="dxa"/>
            <w:vMerge w:val="restart"/>
          </w:tcPr>
          <w:p w14:paraId="7A488D5B" w14:textId="77777777" w:rsidR="00A13690" w:rsidRDefault="00A13690" w:rsidP="00A13690">
            <w:pPr>
              <w:pStyle w:val="HMCTSnormal"/>
            </w:pPr>
          </w:p>
        </w:tc>
      </w:tr>
      <w:tr w:rsidR="00A13690" w14:paraId="4C125551" w14:textId="77777777" w:rsidTr="00360739">
        <w:trPr>
          <w:cantSplit/>
          <w:trHeight w:val="454"/>
        </w:trPr>
        <w:tc>
          <w:tcPr>
            <w:tcW w:w="1219" w:type="dxa"/>
          </w:tcPr>
          <w:p w14:paraId="2E114792" w14:textId="77777777" w:rsidR="00A13690" w:rsidRDefault="00A13690" w:rsidP="00A13690">
            <w:pPr>
              <w:pStyle w:val="HMCTSnormal"/>
            </w:pPr>
          </w:p>
        </w:tc>
        <w:tc>
          <w:tcPr>
            <w:tcW w:w="5755" w:type="dxa"/>
          </w:tcPr>
          <w:p w14:paraId="67F37BE9" w14:textId="77777777" w:rsidR="00BC2390" w:rsidRDefault="00BC2390" w:rsidP="00BC2390">
            <w:pPr>
              <w:autoSpaceDE w:val="0"/>
              <w:autoSpaceDN w:val="0"/>
              <w:adjustRightInd w:val="0"/>
              <w:rPr>
                <w:rFonts w:cs="Arial"/>
                <w:color w:val="0563C2"/>
                <w:szCs w:val="22"/>
              </w:rPr>
            </w:pPr>
          </w:p>
          <w:p w14:paraId="02E58B9D" w14:textId="77777777" w:rsidR="00A13690" w:rsidRDefault="00A13690" w:rsidP="00A13690">
            <w:pPr>
              <w:pStyle w:val="HMCTSnormal"/>
              <w:rPr>
                <w:b/>
              </w:rPr>
            </w:pPr>
          </w:p>
        </w:tc>
        <w:tc>
          <w:tcPr>
            <w:tcW w:w="510" w:type="dxa"/>
          </w:tcPr>
          <w:p w14:paraId="3B29C414" w14:textId="77777777" w:rsidR="00A13690" w:rsidRDefault="00A13690" w:rsidP="00A13690">
            <w:pPr>
              <w:pStyle w:val="HMCTSnormal"/>
            </w:pPr>
          </w:p>
        </w:tc>
        <w:tc>
          <w:tcPr>
            <w:tcW w:w="3175" w:type="dxa"/>
            <w:vMerge/>
          </w:tcPr>
          <w:p w14:paraId="4C53F607" w14:textId="77777777" w:rsidR="00A13690" w:rsidRDefault="00A13690" w:rsidP="00A13690">
            <w:pPr>
              <w:pStyle w:val="HMCTSnormal"/>
            </w:pPr>
          </w:p>
        </w:tc>
      </w:tr>
      <w:tr w:rsidR="00A13690" w14:paraId="69A6B6A0" w14:textId="77777777" w:rsidTr="00360739">
        <w:trPr>
          <w:cantSplit/>
          <w:trHeight w:val="567"/>
        </w:trPr>
        <w:tc>
          <w:tcPr>
            <w:tcW w:w="1219" w:type="dxa"/>
          </w:tcPr>
          <w:p w14:paraId="765FD80B" w14:textId="77777777" w:rsidR="00A13690" w:rsidRDefault="00A13690" w:rsidP="00A13690">
            <w:pPr>
              <w:pStyle w:val="HMCTSnormal"/>
            </w:pPr>
          </w:p>
        </w:tc>
        <w:tc>
          <w:tcPr>
            <w:tcW w:w="5755" w:type="dxa"/>
          </w:tcPr>
          <w:p w14:paraId="55F0131C" w14:textId="77777777" w:rsidR="00A13690" w:rsidRDefault="00A13690" w:rsidP="00A13690">
            <w:pPr>
              <w:pStyle w:val="HMCTSnormal"/>
            </w:pPr>
          </w:p>
        </w:tc>
        <w:tc>
          <w:tcPr>
            <w:tcW w:w="510" w:type="dxa"/>
          </w:tcPr>
          <w:p w14:paraId="7619EF69" w14:textId="77777777" w:rsidR="00A13690" w:rsidRDefault="00A13690" w:rsidP="00A13690">
            <w:pPr>
              <w:pStyle w:val="HMCTSnormal"/>
            </w:pPr>
          </w:p>
        </w:tc>
        <w:tc>
          <w:tcPr>
            <w:tcW w:w="3175" w:type="dxa"/>
            <w:vMerge/>
          </w:tcPr>
          <w:p w14:paraId="5C0291F8" w14:textId="77777777" w:rsidR="00A13690" w:rsidRDefault="00A13690" w:rsidP="00A13690">
            <w:pPr>
              <w:pStyle w:val="HMCTSnormal"/>
            </w:pPr>
          </w:p>
        </w:tc>
      </w:tr>
      <w:tr w:rsidR="00A13690" w14:paraId="066B2329" w14:textId="77777777" w:rsidTr="00360739">
        <w:trPr>
          <w:cantSplit/>
          <w:trHeight w:val="567"/>
        </w:trPr>
        <w:tc>
          <w:tcPr>
            <w:tcW w:w="1219" w:type="dxa"/>
          </w:tcPr>
          <w:p w14:paraId="3BB908AB" w14:textId="77777777" w:rsidR="00A13690" w:rsidRDefault="00A13690" w:rsidP="00A13690">
            <w:pPr>
              <w:pStyle w:val="HMCTSnormal"/>
            </w:pPr>
          </w:p>
        </w:tc>
        <w:tc>
          <w:tcPr>
            <w:tcW w:w="5755" w:type="dxa"/>
          </w:tcPr>
          <w:p w14:paraId="448E5B37" w14:textId="77777777" w:rsidR="00A13690" w:rsidRDefault="00A13690" w:rsidP="00A13690">
            <w:pPr>
              <w:pStyle w:val="HMCTSnormal"/>
            </w:pPr>
          </w:p>
        </w:tc>
        <w:tc>
          <w:tcPr>
            <w:tcW w:w="510" w:type="dxa"/>
          </w:tcPr>
          <w:p w14:paraId="244E37AE" w14:textId="77777777" w:rsidR="00A13690" w:rsidRDefault="00A13690" w:rsidP="00A13690">
            <w:pPr>
              <w:pStyle w:val="HMCTSnormal"/>
            </w:pPr>
          </w:p>
        </w:tc>
        <w:tc>
          <w:tcPr>
            <w:tcW w:w="3175" w:type="dxa"/>
          </w:tcPr>
          <w:p w14:paraId="67BADADC" w14:textId="77777777" w:rsidR="00A13690" w:rsidRDefault="00A13690" w:rsidP="00A13690">
            <w:pPr>
              <w:pStyle w:val="HMCTSnormal"/>
            </w:pPr>
          </w:p>
        </w:tc>
      </w:tr>
    </w:tbl>
    <w:p w14:paraId="57308B53" w14:textId="154C821E" w:rsidR="00BC2390" w:rsidRDefault="00F14D63" w:rsidP="00BC2390">
      <w:pPr>
        <w:autoSpaceDE w:val="0"/>
        <w:autoSpaceDN w:val="0"/>
        <w:adjustRightInd w:val="0"/>
        <w:rPr>
          <w:rFonts w:cs="Arial"/>
          <w:b/>
          <w:bCs/>
          <w:color w:val="000000"/>
          <w:szCs w:val="22"/>
        </w:rPr>
      </w:pPr>
      <w:r>
        <w:rPr>
          <w:noProof/>
        </w:rPr>
        <w:drawing>
          <wp:anchor distT="0" distB="0" distL="114300" distR="114300" simplePos="0" relativeHeight="251656704" behindDoc="0" locked="0" layoutInCell="1" allowOverlap="1" wp14:anchorId="00D6065B" wp14:editId="69E51B12">
            <wp:simplePos x="0" y="0"/>
            <wp:positionH relativeFrom="column">
              <wp:posOffset>1909445</wp:posOffset>
            </wp:positionH>
            <wp:positionV relativeFrom="paragraph">
              <wp:posOffset>-1595120</wp:posOffset>
            </wp:positionV>
            <wp:extent cx="1211580" cy="10801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r="81482" b="-7655"/>
                    <a:stretch>
                      <a:fillRect/>
                    </a:stretch>
                  </pic:blipFill>
                  <pic:spPr bwMode="auto">
                    <a:xfrm>
                      <a:off x="0" y="0"/>
                      <a:ext cx="1211580" cy="1080135"/>
                    </a:xfrm>
                    <a:prstGeom prst="rect">
                      <a:avLst/>
                    </a:prstGeom>
                    <a:noFill/>
                  </pic:spPr>
                </pic:pic>
              </a:graphicData>
            </a:graphic>
            <wp14:sizeRelH relativeFrom="page">
              <wp14:pctWidth>0</wp14:pctWidth>
            </wp14:sizeRelH>
            <wp14:sizeRelV relativeFrom="page">
              <wp14:pctHeight>0</wp14:pctHeight>
            </wp14:sizeRelV>
          </wp:anchor>
        </w:drawing>
      </w:r>
    </w:p>
    <w:p w14:paraId="7C5DC82A" w14:textId="77777777" w:rsidR="00BC2390" w:rsidRDefault="00BC2390" w:rsidP="00BC2390">
      <w:pPr>
        <w:autoSpaceDE w:val="0"/>
        <w:autoSpaceDN w:val="0"/>
        <w:adjustRightInd w:val="0"/>
        <w:rPr>
          <w:rFonts w:cs="Arial"/>
          <w:b/>
          <w:bCs/>
          <w:color w:val="000000"/>
          <w:szCs w:val="22"/>
        </w:rPr>
      </w:pPr>
    </w:p>
    <w:p w14:paraId="34D4EB5E" w14:textId="77777777" w:rsidR="00BC2390" w:rsidRDefault="00360739" w:rsidP="000A4BBD">
      <w:pPr>
        <w:autoSpaceDE w:val="0"/>
        <w:autoSpaceDN w:val="0"/>
        <w:adjustRightInd w:val="0"/>
        <w:jc w:val="center"/>
        <w:rPr>
          <w:rFonts w:cs="Arial"/>
          <w:b/>
          <w:szCs w:val="22"/>
        </w:rPr>
      </w:pPr>
      <w:r>
        <w:rPr>
          <w:rFonts w:cs="Arial"/>
          <w:b/>
          <w:szCs w:val="22"/>
        </w:rPr>
        <w:t>FIRST</w:t>
      </w:r>
      <w:r w:rsidR="000A4BBD">
        <w:rPr>
          <w:rFonts w:cs="Arial"/>
          <w:b/>
          <w:szCs w:val="22"/>
        </w:rPr>
        <w:t>-</w:t>
      </w:r>
      <w:r>
        <w:rPr>
          <w:rFonts w:cs="Arial"/>
          <w:b/>
          <w:szCs w:val="22"/>
        </w:rPr>
        <w:t>TIER</w:t>
      </w:r>
      <w:r w:rsidR="000A4BBD">
        <w:rPr>
          <w:rFonts w:cs="Arial"/>
          <w:b/>
          <w:szCs w:val="22"/>
        </w:rPr>
        <w:t xml:space="preserve"> TRIBUNAL</w:t>
      </w:r>
      <w:r>
        <w:rPr>
          <w:rFonts w:cs="Arial"/>
          <w:b/>
          <w:szCs w:val="22"/>
        </w:rPr>
        <w:t xml:space="preserve"> </w:t>
      </w:r>
      <w:r w:rsidR="000A4BBD">
        <w:rPr>
          <w:rFonts w:cs="Arial"/>
          <w:b/>
          <w:szCs w:val="22"/>
        </w:rPr>
        <w:t>(</w:t>
      </w:r>
      <w:r>
        <w:rPr>
          <w:rFonts w:cs="Arial"/>
          <w:b/>
          <w:szCs w:val="22"/>
        </w:rPr>
        <w:t>IMMIGRATION</w:t>
      </w:r>
      <w:r w:rsidR="000A4BBD">
        <w:rPr>
          <w:rFonts w:cs="Arial"/>
          <w:b/>
          <w:szCs w:val="22"/>
        </w:rPr>
        <w:t xml:space="preserve"> AND ASYLUM) CHAMBER</w:t>
      </w:r>
      <w:r w:rsidR="008A07CE" w:rsidRPr="008A07CE">
        <w:rPr>
          <w:rFonts w:cs="Arial"/>
          <w:b/>
          <w:szCs w:val="22"/>
        </w:rPr>
        <w:t xml:space="preserve"> HEARINGS</w:t>
      </w:r>
    </w:p>
    <w:p w14:paraId="67565594" w14:textId="77777777" w:rsidR="00113DB2" w:rsidRDefault="00113DB2" w:rsidP="000A4BBD">
      <w:pPr>
        <w:autoSpaceDE w:val="0"/>
        <w:autoSpaceDN w:val="0"/>
        <w:adjustRightInd w:val="0"/>
        <w:jc w:val="center"/>
        <w:rPr>
          <w:rFonts w:cs="Arial"/>
          <w:b/>
          <w:szCs w:val="22"/>
        </w:rPr>
      </w:pPr>
    </w:p>
    <w:p w14:paraId="761E0633" w14:textId="77777777" w:rsidR="008A07CE" w:rsidRPr="000A4BBD" w:rsidRDefault="000A4BBD" w:rsidP="000A4BBD">
      <w:pPr>
        <w:autoSpaceDE w:val="0"/>
        <w:autoSpaceDN w:val="0"/>
        <w:adjustRightInd w:val="0"/>
        <w:jc w:val="center"/>
        <w:rPr>
          <w:rFonts w:cs="Arial"/>
          <w:b/>
          <w:bCs/>
          <w:szCs w:val="22"/>
          <w:u w:val="single"/>
        </w:rPr>
      </w:pPr>
      <w:r w:rsidRPr="000A4BBD">
        <w:rPr>
          <w:rFonts w:cs="Arial"/>
          <w:b/>
          <w:bCs/>
          <w:szCs w:val="22"/>
          <w:u w:val="single"/>
        </w:rPr>
        <w:t>NOTICE</w:t>
      </w:r>
    </w:p>
    <w:p w14:paraId="78E0C0E5" w14:textId="77777777" w:rsidR="000A4BBD" w:rsidRDefault="000A4BBD" w:rsidP="000A4BBD">
      <w:pPr>
        <w:autoSpaceDE w:val="0"/>
        <w:autoSpaceDN w:val="0"/>
        <w:adjustRightInd w:val="0"/>
        <w:jc w:val="center"/>
        <w:rPr>
          <w:rFonts w:cs="Arial"/>
          <w:szCs w:val="22"/>
        </w:rPr>
      </w:pPr>
    </w:p>
    <w:p w14:paraId="61550075" w14:textId="65F76310" w:rsidR="004B288A" w:rsidRPr="00403585" w:rsidRDefault="008A07CE" w:rsidP="000A4BBD">
      <w:pPr>
        <w:jc w:val="both"/>
        <w:rPr>
          <w:b/>
          <w:bCs/>
          <w:color w:val="000000"/>
          <w:sz w:val="24"/>
          <w:shd w:val="clear" w:color="auto" w:fill="FFFFFF"/>
        </w:rPr>
      </w:pPr>
      <w:r>
        <w:rPr>
          <w:color w:val="000000"/>
          <w:sz w:val="24"/>
          <w:shd w:val="clear" w:color="auto" w:fill="FFFFFF"/>
        </w:rPr>
        <w:t>In view of the rapidly changing circumstances created by t</w:t>
      </w:r>
      <w:r w:rsidR="00D144D2">
        <w:rPr>
          <w:color w:val="000000"/>
          <w:sz w:val="24"/>
          <w:shd w:val="clear" w:color="auto" w:fill="FFFFFF"/>
        </w:rPr>
        <w:t xml:space="preserve">he Covid-19 pandemic, the President of </w:t>
      </w:r>
      <w:r w:rsidR="00F11B3D">
        <w:rPr>
          <w:color w:val="000000"/>
          <w:sz w:val="24"/>
          <w:shd w:val="clear" w:color="auto" w:fill="FFFFFF"/>
        </w:rPr>
        <w:t xml:space="preserve">the </w:t>
      </w:r>
      <w:r w:rsidR="00D144D2">
        <w:rPr>
          <w:color w:val="000000"/>
          <w:sz w:val="24"/>
          <w:shd w:val="clear" w:color="auto" w:fill="FFFFFF"/>
        </w:rPr>
        <w:t>F</w:t>
      </w:r>
      <w:r w:rsidR="00F11B3D">
        <w:rPr>
          <w:color w:val="000000"/>
          <w:sz w:val="24"/>
          <w:shd w:val="clear" w:color="auto" w:fill="FFFFFF"/>
        </w:rPr>
        <w:t>irst-</w:t>
      </w:r>
      <w:r w:rsidR="00CC79B6">
        <w:rPr>
          <w:color w:val="000000"/>
          <w:sz w:val="24"/>
          <w:shd w:val="clear" w:color="auto" w:fill="FFFFFF"/>
        </w:rPr>
        <w:t>tier Tribunal (</w:t>
      </w:r>
      <w:r w:rsidR="00D144D2">
        <w:rPr>
          <w:color w:val="000000"/>
          <w:sz w:val="24"/>
          <w:shd w:val="clear" w:color="auto" w:fill="FFFFFF"/>
        </w:rPr>
        <w:t>IAC</w:t>
      </w:r>
      <w:r w:rsidR="00CC79B6">
        <w:rPr>
          <w:color w:val="000000"/>
          <w:sz w:val="24"/>
          <w:shd w:val="clear" w:color="auto" w:fill="FFFFFF"/>
        </w:rPr>
        <w:t>)</w:t>
      </w:r>
      <w:r w:rsidR="00D144D2">
        <w:rPr>
          <w:color w:val="000000"/>
          <w:sz w:val="24"/>
          <w:shd w:val="clear" w:color="auto" w:fill="FFFFFF"/>
        </w:rPr>
        <w:t xml:space="preserve"> has</w:t>
      </w:r>
      <w:r>
        <w:rPr>
          <w:color w:val="000000"/>
          <w:sz w:val="24"/>
          <w:shd w:val="clear" w:color="auto" w:fill="FFFFFF"/>
        </w:rPr>
        <w:t xml:space="preserve"> directed that </w:t>
      </w:r>
      <w:r w:rsidR="000A4BBD">
        <w:rPr>
          <w:color w:val="000000"/>
          <w:sz w:val="24"/>
          <w:shd w:val="clear" w:color="auto" w:fill="FFFFFF"/>
        </w:rPr>
        <w:t xml:space="preserve">all </w:t>
      </w:r>
      <w:r w:rsidR="00FB31AF">
        <w:rPr>
          <w:color w:val="000000"/>
          <w:sz w:val="24"/>
          <w:shd w:val="clear" w:color="auto" w:fill="FFFFFF"/>
        </w:rPr>
        <w:t xml:space="preserve">appeals will proceed by </w:t>
      </w:r>
      <w:r w:rsidR="00893C35">
        <w:rPr>
          <w:color w:val="000000"/>
          <w:sz w:val="24"/>
          <w:shd w:val="clear" w:color="auto" w:fill="FFFFFF"/>
        </w:rPr>
        <w:t xml:space="preserve">way of a </w:t>
      </w:r>
      <w:r w:rsidR="000A4BBD">
        <w:rPr>
          <w:color w:val="000000"/>
          <w:sz w:val="24"/>
          <w:shd w:val="clear" w:color="auto" w:fill="FFFFFF"/>
        </w:rPr>
        <w:t xml:space="preserve"> Case Management Hearing</w:t>
      </w:r>
      <w:r w:rsidR="005A6FC2">
        <w:rPr>
          <w:color w:val="000000"/>
          <w:sz w:val="24"/>
          <w:shd w:val="clear" w:color="auto" w:fill="FFFFFF"/>
        </w:rPr>
        <w:t xml:space="preserve"> (CMR)</w:t>
      </w:r>
      <w:r>
        <w:rPr>
          <w:color w:val="000000"/>
          <w:sz w:val="24"/>
          <w:shd w:val="clear" w:color="auto" w:fill="FFFFFF"/>
        </w:rPr>
        <w:t> </w:t>
      </w:r>
      <w:r w:rsidR="00D144D2">
        <w:rPr>
          <w:color w:val="000000"/>
          <w:sz w:val="24"/>
          <w:shd w:val="clear" w:color="auto" w:fill="FFFFFF"/>
        </w:rPr>
        <w:t xml:space="preserve"> </w:t>
      </w:r>
      <w:r w:rsidR="00B51C37">
        <w:rPr>
          <w:color w:val="000000"/>
          <w:sz w:val="24"/>
          <w:shd w:val="clear" w:color="auto" w:fill="FFFFFF"/>
        </w:rPr>
        <w:t>via telephone</w:t>
      </w:r>
      <w:r w:rsidR="000A4BBD">
        <w:rPr>
          <w:color w:val="000000"/>
          <w:sz w:val="24"/>
          <w:shd w:val="clear" w:color="auto" w:fill="FFFFFF"/>
        </w:rPr>
        <w:t xml:space="preserve"> or Skype</w:t>
      </w:r>
      <w:r w:rsidR="00405EAA">
        <w:rPr>
          <w:color w:val="000000"/>
          <w:sz w:val="24"/>
          <w:shd w:val="clear" w:color="auto" w:fill="FFFFFF"/>
        </w:rPr>
        <w:t xml:space="preserve"> </w:t>
      </w:r>
      <w:r>
        <w:rPr>
          <w:color w:val="000000"/>
          <w:sz w:val="24"/>
          <w:shd w:val="clear" w:color="auto" w:fill="FFFFFF"/>
        </w:rPr>
        <w:t>which will take place </w:t>
      </w:r>
      <w:r w:rsidR="00604C02">
        <w:rPr>
          <w:color w:val="000000"/>
          <w:sz w:val="24"/>
          <w:shd w:val="clear" w:color="auto" w:fill="FFFFFF"/>
        </w:rPr>
        <w:t xml:space="preserve">on </w:t>
      </w:r>
      <w:r w:rsidR="0054291E">
        <w:rPr>
          <w:color w:val="000000"/>
          <w:sz w:val="24"/>
          <w:shd w:val="clear" w:color="auto" w:fill="FFFFFF"/>
        </w:rPr>
        <w:t xml:space="preserve">a date to be notified </w:t>
      </w:r>
      <w:r w:rsidR="00B435C1">
        <w:rPr>
          <w:color w:val="000000"/>
          <w:sz w:val="24"/>
          <w:shd w:val="clear" w:color="auto" w:fill="FFFFFF"/>
        </w:rPr>
        <w:t xml:space="preserve"> </w:t>
      </w:r>
      <w:r w:rsidR="00037A54">
        <w:rPr>
          <w:color w:val="000000"/>
          <w:sz w:val="24"/>
          <w:shd w:val="clear" w:color="auto" w:fill="FFFFFF"/>
        </w:rPr>
        <w:t xml:space="preserve">in </w:t>
      </w:r>
      <w:r w:rsidR="00B435C1">
        <w:rPr>
          <w:color w:val="000000"/>
          <w:sz w:val="24"/>
          <w:shd w:val="clear" w:color="auto" w:fill="FFFFFF"/>
        </w:rPr>
        <w:t>a time slot to be allocated</w:t>
      </w:r>
      <w:r w:rsidR="004B288A">
        <w:rPr>
          <w:color w:val="000000"/>
          <w:sz w:val="24"/>
          <w:shd w:val="clear" w:color="auto" w:fill="FFFFFF"/>
        </w:rPr>
        <w:t>.</w:t>
      </w:r>
      <w:r w:rsidR="00E773FB">
        <w:rPr>
          <w:color w:val="000000"/>
          <w:sz w:val="24"/>
          <w:shd w:val="clear" w:color="auto" w:fill="FFFFFF"/>
        </w:rPr>
        <w:t xml:space="preserve"> </w:t>
      </w:r>
      <w:r w:rsidR="00F06FFF" w:rsidRPr="00403585">
        <w:rPr>
          <w:b/>
          <w:bCs/>
          <w:color w:val="000000"/>
          <w:sz w:val="24"/>
          <w:shd w:val="clear" w:color="auto" w:fill="FFFFFF"/>
        </w:rPr>
        <w:t>All current scheduled hearing</w:t>
      </w:r>
      <w:r w:rsidR="00BA2D1C" w:rsidRPr="00403585">
        <w:rPr>
          <w:b/>
          <w:bCs/>
          <w:color w:val="000000"/>
          <w:sz w:val="24"/>
          <w:shd w:val="clear" w:color="auto" w:fill="FFFFFF"/>
        </w:rPr>
        <w:t>s</w:t>
      </w:r>
      <w:r w:rsidR="00CD281D" w:rsidRPr="00403585">
        <w:rPr>
          <w:b/>
          <w:bCs/>
          <w:color w:val="000000"/>
          <w:sz w:val="24"/>
          <w:shd w:val="clear" w:color="auto" w:fill="FFFFFF"/>
        </w:rPr>
        <w:t xml:space="preserve"> are vacated.</w:t>
      </w:r>
    </w:p>
    <w:p w14:paraId="14FF7EAB" w14:textId="77777777" w:rsidR="00B435C1" w:rsidRDefault="00B435C1" w:rsidP="000A4BBD">
      <w:pPr>
        <w:jc w:val="both"/>
        <w:rPr>
          <w:color w:val="000000"/>
          <w:sz w:val="24"/>
          <w:shd w:val="clear" w:color="auto" w:fill="FFFFFF"/>
        </w:rPr>
      </w:pPr>
    </w:p>
    <w:p w14:paraId="499416A3" w14:textId="77777777" w:rsidR="000A4BBD" w:rsidRDefault="000A4BBD" w:rsidP="000A4BBD">
      <w:pPr>
        <w:jc w:val="both"/>
        <w:rPr>
          <w:color w:val="000000"/>
          <w:sz w:val="24"/>
          <w:shd w:val="clear" w:color="auto" w:fill="FFFFFF"/>
        </w:rPr>
      </w:pPr>
    </w:p>
    <w:p w14:paraId="7CED09A6" w14:textId="0B7D6AAA" w:rsidR="00ED646C" w:rsidRDefault="00EE2E1A" w:rsidP="0047759C">
      <w:pPr>
        <w:numPr>
          <w:ilvl w:val="0"/>
          <w:numId w:val="1"/>
        </w:numPr>
        <w:ind w:hanging="720"/>
        <w:jc w:val="both"/>
        <w:rPr>
          <w:color w:val="000000"/>
          <w:sz w:val="24"/>
          <w:shd w:val="clear" w:color="auto" w:fill="FFFFFF"/>
        </w:rPr>
      </w:pPr>
      <w:r>
        <w:rPr>
          <w:color w:val="000000"/>
          <w:sz w:val="24"/>
          <w:shd w:val="clear" w:color="auto" w:fill="FFFFFF"/>
        </w:rPr>
        <w:t xml:space="preserve">Within 5 working days </w:t>
      </w:r>
      <w:r w:rsidR="00BF0C67">
        <w:rPr>
          <w:color w:val="000000"/>
          <w:sz w:val="24"/>
          <w:shd w:val="clear" w:color="auto" w:fill="FFFFFF"/>
        </w:rPr>
        <w:t>of the date of this Notice</w:t>
      </w:r>
      <w:r w:rsidR="00463124">
        <w:rPr>
          <w:color w:val="000000"/>
          <w:sz w:val="24"/>
          <w:shd w:val="clear" w:color="auto" w:fill="FFFFFF"/>
        </w:rPr>
        <w:t xml:space="preserve"> y</w:t>
      </w:r>
      <w:r w:rsidR="000A4BBD">
        <w:rPr>
          <w:color w:val="000000"/>
          <w:sz w:val="24"/>
          <w:shd w:val="clear" w:color="auto" w:fill="FFFFFF"/>
        </w:rPr>
        <w:t>ou must</w:t>
      </w:r>
      <w:r w:rsidR="004B288A">
        <w:rPr>
          <w:color w:val="000000"/>
          <w:sz w:val="24"/>
          <w:shd w:val="clear" w:color="auto" w:fill="FFFFFF"/>
        </w:rPr>
        <w:t xml:space="preserve"> provide direct</w:t>
      </w:r>
      <w:r w:rsidR="00A1614E">
        <w:rPr>
          <w:color w:val="000000"/>
          <w:sz w:val="24"/>
          <w:shd w:val="clear" w:color="auto" w:fill="FFFFFF"/>
        </w:rPr>
        <w:t xml:space="preserve"> contact number</w:t>
      </w:r>
      <w:r w:rsidR="00C95417">
        <w:rPr>
          <w:color w:val="000000"/>
          <w:sz w:val="24"/>
          <w:shd w:val="clear" w:color="auto" w:fill="FFFFFF"/>
        </w:rPr>
        <w:t>(</w:t>
      </w:r>
      <w:r w:rsidR="004B288A">
        <w:rPr>
          <w:color w:val="000000"/>
          <w:sz w:val="24"/>
          <w:shd w:val="clear" w:color="auto" w:fill="FFFFFF"/>
        </w:rPr>
        <w:t>s</w:t>
      </w:r>
      <w:r w:rsidR="00C95417">
        <w:rPr>
          <w:color w:val="000000"/>
          <w:sz w:val="24"/>
          <w:shd w:val="clear" w:color="auto" w:fill="FFFFFF"/>
        </w:rPr>
        <w:t>)</w:t>
      </w:r>
      <w:r w:rsidR="000A4BBD">
        <w:rPr>
          <w:color w:val="000000"/>
          <w:sz w:val="24"/>
          <w:shd w:val="clear" w:color="auto" w:fill="FFFFFF"/>
        </w:rPr>
        <w:t xml:space="preserve"> and email address</w:t>
      </w:r>
      <w:r w:rsidR="00C95417">
        <w:rPr>
          <w:color w:val="000000"/>
          <w:sz w:val="24"/>
          <w:shd w:val="clear" w:color="auto" w:fill="FFFFFF"/>
        </w:rPr>
        <w:t>(es)</w:t>
      </w:r>
      <w:r w:rsidR="001D429E">
        <w:rPr>
          <w:color w:val="000000"/>
          <w:sz w:val="24"/>
          <w:shd w:val="clear" w:color="auto" w:fill="FFFFFF"/>
        </w:rPr>
        <w:t xml:space="preserve"> </w:t>
      </w:r>
      <w:r w:rsidR="004B288A">
        <w:rPr>
          <w:color w:val="000000"/>
          <w:sz w:val="24"/>
          <w:shd w:val="clear" w:color="auto" w:fill="FFFFFF"/>
        </w:rPr>
        <w:t>for the Tribunal to contact you</w:t>
      </w:r>
      <w:r w:rsidR="00B435C1">
        <w:rPr>
          <w:color w:val="000000"/>
          <w:sz w:val="24"/>
          <w:shd w:val="clear" w:color="auto" w:fill="FFFFFF"/>
        </w:rPr>
        <w:t xml:space="preserve"> </w:t>
      </w:r>
      <w:r w:rsidR="00752273">
        <w:rPr>
          <w:color w:val="000000"/>
          <w:sz w:val="24"/>
          <w:shd w:val="clear" w:color="auto" w:fill="FFFFFF"/>
        </w:rPr>
        <w:t xml:space="preserve">and any members of your organisation having any </w:t>
      </w:r>
      <w:r w:rsidR="00070AD5">
        <w:rPr>
          <w:color w:val="000000"/>
          <w:sz w:val="24"/>
          <w:shd w:val="clear" w:color="auto" w:fill="FFFFFF"/>
        </w:rPr>
        <w:t>business</w:t>
      </w:r>
      <w:r w:rsidR="00752273">
        <w:rPr>
          <w:color w:val="000000"/>
          <w:sz w:val="24"/>
          <w:shd w:val="clear" w:color="auto" w:fill="FFFFFF"/>
        </w:rPr>
        <w:t xml:space="preserve"> with the </w:t>
      </w:r>
      <w:r w:rsidR="00070AD5">
        <w:rPr>
          <w:color w:val="000000"/>
          <w:sz w:val="24"/>
          <w:shd w:val="clear" w:color="auto" w:fill="FFFFFF"/>
        </w:rPr>
        <w:t>T</w:t>
      </w:r>
      <w:r w:rsidR="00752273">
        <w:rPr>
          <w:color w:val="000000"/>
          <w:sz w:val="24"/>
          <w:shd w:val="clear" w:color="auto" w:fill="FFFFFF"/>
        </w:rPr>
        <w:t>ribu</w:t>
      </w:r>
      <w:r w:rsidR="00070AD5">
        <w:rPr>
          <w:color w:val="000000"/>
          <w:sz w:val="24"/>
          <w:shd w:val="clear" w:color="auto" w:fill="FFFFFF"/>
        </w:rPr>
        <w:t>na</w:t>
      </w:r>
      <w:r w:rsidR="00752273">
        <w:rPr>
          <w:color w:val="000000"/>
          <w:sz w:val="24"/>
          <w:shd w:val="clear" w:color="auto" w:fill="FFFFFF"/>
        </w:rPr>
        <w:t>l</w:t>
      </w:r>
      <w:r w:rsidR="00C6456B">
        <w:rPr>
          <w:color w:val="000000"/>
          <w:sz w:val="24"/>
          <w:shd w:val="clear" w:color="auto" w:fill="FFFFFF"/>
        </w:rPr>
        <w:t xml:space="preserve">. If </w:t>
      </w:r>
      <w:r w:rsidR="0056054B">
        <w:rPr>
          <w:color w:val="000000"/>
          <w:sz w:val="24"/>
          <w:shd w:val="clear" w:color="auto" w:fill="FFFFFF"/>
        </w:rPr>
        <w:t xml:space="preserve">members </w:t>
      </w:r>
      <w:r w:rsidR="00483CB3">
        <w:rPr>
          <w:color w:val="000000"/>
          <w:sz w:val="24"/>
          <w:shd w:val="clear" w:color="auto" w:fill="FFFFFF"/>
        </w:rPr>
        <w:t xml:space="preserve">of your </w:t>
      </w:r>
      <w:r w:rsidR="00D0289E" w:rsidRPr="0047759C">
        <w:rPr>
          <w:sz w:val="24"/>
          <w:shd w:val="clear" w:color="auto" w:fill="FFFFFF"/>
        </w:rPr>
        <w:t>organisation have access to Skype for Business, you must inform the Tribunal and provide all necessary information to the Tribunal to enable communication by that medium.</w:t>
      </w:r>
      <w:r w:rsidR="00483CB3" w:rsidRPr="0047759C">
        <w:rPr>
          <w:sz w:val="24"/>
          <w:shd w:val="clear" w:color="auto" w:fill="FFFFFF"/>
        </w:rPr>
        <w:t xml:space="preserve"> </w:t>
      </w:r>
      <w:r w:rsidR="00B435C1" w:rsidRPr="0047759C">
        <w:rPr>
          <w:sz w:val="24"/>
          <w:shd w:val="clear" w:color="auto" w:fill="FFFFFF"/>
        </w:rPr>
        <w:t xml:space="preserve"> </w:t>
      </w:r>
    </w:p>
    <w:p w14:paraId="12A16578" w14:textId="77777777" w:rsidR="00070AD5" w:rsidRDefault="00070AD5" w:rsidP="00070AD5">
      <w:pPr>
        <w:ind w:left="720"/>
        <w:jc w:val="both"/>
        <w:rPr>
          <w:color w:val="000000"/>
          <w:sz w:val="24"/>
          <w:shd w:val="clear" w:color="auto" w:fill="FFFFFF"/>
        </w:rPr>
      </w:pPr>
    </w:p>
    <w:p w14:paraId="513553F7" w14:textId="2F33C7EC" w:rsidR="008A07CE" w:rsidRDefault="00ED646C" w:rsidP="0047759C">
      <w:pPr>
        <w:numPr>
          <w:ilvl w:val="0"/>
          <w:numId w:val="1"/>
        </w:numPr>
        <w:ind w:hanging="720"/>
        <w:jc w:val="both"/>
        <w:rPr>
          <w:color w:val="000000"/>
          <w:sz w:val="24"/>
          <w:shd w:val="clear" w:color="auto" w:fill="FFFFFF"/>
        </w:rPr>
      </w:pPr>
      <w:r>
        <w:rPr>
          <w:color w:val="000000"/>
          <w:sz w:val="24"/>
          <w:shd w:val="clear" w:color="auto" w:fill="FFFFFF"/>
        </w:rPr>
        <w:t>You must</w:t>
      </w:r>
      <w:r w:rsidR="00A03CBA">
        <w:rPr>
          <w:color w:val="000000"/>
          <w:sz w:val="24"/>
          <w:shd w:val="clear" w:color="auto" w:fill="FFFFFF"/>
        </w:rPr>
        <w:t xml:space="preserve"> </w:t>
      </w:r>
      <w:r w:rsidR="00B435C1">
        <w:rPr>
          <w:color w:val="000000"/>
          <w:sz w:val="24"/>
          <w:shd w:val="clear" w:color="auto" w:fill="FFFFFF"/>
        </w:rPr>
        <w:t>comply with the following directions</w:t>
      </w:r>
      <w:r w:rsidR="00D04A53">
        <w:rPr>
          <w:color w:val="000000"/>
          <w:sz w:val="24"/>
          <w:shd w:val="clear" w:color="auto" w:fill="FFFFFF"/>
        </w:rPr>
        <w:t>.</w:t>
      </w:r>
    </w:p>
    <w:p w14:paraId="05E30207" w14:textId="77777777" w:rsidR="004B288A" w:rsidRDefault="004B288A" w:rsidP="000A4BBD">
      <w:pPr>
        <w:jc w:val="both"/>
        <w:rPr>
          <w:color w:val="000000"/>
          <w:sz w:val="24"/>
          <w:shd w:val="clear" w:color="auto" w:fill="FFFFFF"/>
        </w:rPr>
      </w:pPr>
    </w:p>
    <w:p w14:paraId="5DFA8CED" w14:textId="6A998B9F" w:rsidR="00E13023" w:rsidRDefault="000829D1" w:rsidP="006D09F7">
      <w:pPr>
        <w:numPr>
          <w:ilvl w:val="0"/>
          <w:numId w:val="1"/>
        </w:numPr>
        <w:ind w:hanging="720"/>
        <w:jc w:val="both"/>
        <w:rPr>
          <w:color w:val="000000"/>
          <w:sz w:val="24"/>
          <w:shd w:val="clear" w:color="auto" w:fill="FFFFFF"/>
        </w:rPr>
      </w:pPr>
      <w:r w:rsidRPr="00E13023">
        <w:rPr>
          <w:color w:val="000000"/>
          <w:sz w:val="24"/>
          <w:shd w:val="clear" w:color="auto" w:fill="FFFFFF"/>
        </w:rPr>
        <w:t xml:space="preserve">All parties </w:t>
      </w:r>
      <w:r w:rsidR="0047759C">
        <w:rPr>
          <w:color w:val="000000"/>
          <w:sz w:val="24"/>
          <w:shd w:val="clear" w:color="auto" w:fill="FFFFFF"/>
        </w:rPr>
        <w:t xml:space="preserve">must </w:t>
      </w:r>
      <w:r w:rsidR="0047759C" w:rsidRPr="00E13023">
        <w:rPr>
          <w:color w:val="000000"/>
          <w:sz w:val="24"/>
          <w:shd w:val="clear" w:color="auto" w:fill="FFFFFF"/>
        </w:rPr>
        <w:t>be</w:t>
      </w:r>
      <w:r w:rsidR="00360739" w:rsidRPr="00E13023">
        <w:rPr>
          <w:color w:val="000000"/>
          <w:sz w:val="24"/>
          <w:shd w:val="clear" w:color="auto" w:fill="FFFFFF"/>
        </w:rPr>
        <w:t xml:space="preserve"> available </w:t>
      </w:r>
      <w:r w:rsidR="00B435C1" w:rsidRPr="00E13023">
        <w:rPr>
          <w:color w:val="000000"/>
          <w:sz w:val="24"/>
          <w:shd w:val="clear" w:color="auto" w:fill="FFFFFF"/>
        </w:rPr>
        <w:t>5 minutes before the allocated time</w:t>
      </w:r>
    </w:p>
    <w:p w14:paraId="7BC256D5" w14:textId="77777777" w:rsidR="00E13023" w:rsidRDefault="00E13023" w:rsidP="00E13023">
      <w:pPr>
        <w:ind w:left="720"/>
        <w:jc w:val="both"/>
        <w:rPr>
          <w:color w:val="000000"/>
          <w:sz w:val="24"/>
          <w:shd w:val="clear" w:color="auto" w:fill="FFFFFF"/>
        </w:rPr>
      </w:pPr>
    </w:p>
    <w:p w14:paraId="47EBFF47" w14:textId="39F4A68F" w:rsidR="00E13023" w:rsidRDefault="008A07CE" w:rsidP="00832067">
      <w:pPr>
        <w:numPr>
          <w:ilvl w:val="0"/>
          <w:numId w:val="1"/>
        </w:numPr>
        <w:ind w:hanging="720"/>
        <w:jc w:val="both"/>
        <w:rPr>
          <w:color w:val="000000"/>
          <w:sz w:val="24"/>
          <w:shd w:val="clear" w:color="auto" w:fill="FFFFFF"/>
        </w:rPr>
      </w:pPr>
      <w:r w:rsidRPr="00E13023">
        <w:rPr>
          <w:color w:val="000000"/>
          <w:sz w:val="24"/>
          <w:shd w:val="clear" w:color="auto" w:fill="FFFFFF"/>
        </w:rPr>
        <w:t xml:space="preserve">The parties </w:t>
      </w:r>
      <w:r w:rsidR="006C7E67">
        <w:rPr>
          <w:color w:val="000000"/>
          <w:sz w:val="24"/>
          <w:shd w:val="clear" w:color="auto" w:fill="FFFFFF"/>
        </w:rPr>
        <w:t xml:space="preserve">may </w:t>
      </w:r>
      <w:r w:rsidRPr="00E13023">
        <w:rPr>
          <w:color w:val="000000"/>
          <w:sz w:val="24"/>
          <w:shd w:val="clear" w:color="auto" w:fill="FFFFFF"/>
        </w:rPr>
        <w:t xml:space="preserve">make </w:t>
      </w:r>
      <w:r w:rsidR="006C7E67">
        <w:rPr>
          <w:color w:val="000000"/>
          <w:sz w:val="24"/>
          <w:shd w:val="clear" w:color="auto" w:fill="FFFFFF"/>
        </w:rPr>
        <w:t>an</w:t>
      </w:r>
      <w:r w:rsidR="006C7E67" w:rsidRPr="00E13023">
        <w:rPr>
          <w:color w:val="000000"/>
          <w:sz w:val="24"/>
          <w:shd w:val="clear" w:color="auto" w:fill="FFFFFF"/>
        </w:rPr>
        <w:t xml:space="preserve"> </w:t>
      </w:r>
      <w:r w:rsidRPr="00E13023">
        <w:rPr>
          <w:color w:val="000000"/>
          <w:sz w:val="24"/>
          <w:shd w:val="clear" w:color="auto" w:fill="FFFFFF"/>
        </w:rPr>
        <w:t>application to the Tribunal at any time</w:t>
      </w:r>
      <w:r w:rsidR="00CD4F6E">
        <w:rPr>
          <w:color w:val="000000"/>
          <w:sz w:val="24"/>
          <w:shd w:val="clear" w:color="auto" w:fill="FFFFFF"/>
        </w:rPr>
        <w:t>. Such applicat</w:t>
      </w:r>
      <w:r w:rsidR="00A02921">
        <w:rPr>
          <w:color w:val="000000"/>
          <w:sz w:val="24"/>
          <w:shd w:val="clear" w:color="auto" w:fill="FFFFFF"/>
        </w:rPr>
        <w:t>ion must only be</w:t>
      </w:r>
      <w:r w:rsidR="00601EC4">
        <w:rPr>
          <w:color w:val="000000"/>
          <w:sz w:val="24"/>
          <w:shd w:val="clear" w:color="auto" w:fill="FFFFFF"/>
        </w:rPr>
        <w:t xml:space="preserve"> by email </w:t>
      </w:r>
      <w:hyperlink r:id="rId11" w:history="1">
        <w:r w:rsidR="00823EE9" w:rsidRPr="008E06BD">
          <w:rPr>
            <w:rStyle w:val="Hyperlink"/>
            <w:sz w:val="24"/>
            <w:shd w:val="clear" w:color="auto" w:fill="FFFFFF"/>
          </w:rPr>
          <w:t>ecorrespondence@Justice.gov.uk</w:t>
        </w:r>
      </w:hyperlink>
      <w:r w:rsidRPr="00E13023">
        <w:rPr>
          <w:color w:val="000000"/>
          <w:sz w:val="24"/>
          <w:shd w:val="clear" w:color="auto" w:fill="FFFFFF"/>
        </w:rPr>
        <w:t>.</w:t>
      </w:r>
    </w:p>
    <w:p w14:paraId="43AD141E" w14:textId="77777777" w:rsidR="00E13023" w:rsidRDefault="00E13023" w:rsidP="00E13023">
      <w:pPr>
        <w:pStyle w:val="ListParagraph"/>
        <w:rPr>
          <w:color w:val="000000"/>
          <w:sz w:val="24"/>
          <w:shd w:val="clear" w:color="auto" w:fill="FFFFFF"/>
        </w:rPr>
      </w:pPr>
    </w:p>
    <w:p w14:paraId="12897BD2" w14:textId="06267F8F" w:rsidR="00D7018F" w:rsidRDefault="00B435C1" w:rsidP="002807D3">
      <w:pPr>
        <w:numPr>
          <w:ilvl w:val="0"/>
          <w:numId w:val="1"/>
        </w:numPr>
        <w:ind w:hanging="720"/>
        <w:jc w:val="both"/>
        <w:rPr>
          <w:color w:val="000000"/>
          <w:sz w:val="24"/>
          <w:shd w:val="clear" w:color="auto" w:fill="FFFFFF"/>
        </w:rPr>
      </w:pPr>
      <w:r w:rsidRPr="00D7018F">
        <w:rPr>
          <w:color w:val="000000"/>
          <w:sz w:val="24"/>
          <w:shd w:val="clear" w:color="auto" w:fill="FFFFFF"/>
        </w:rPr>
        <w:t>Any witness statements and other evidence upon which the Appellant intends to rely must be sent electronically to the Tribunal and to the Respondent together with</w:t>
      </w:r>
      <w:r w:rsidR="0087710B">
        <w:rPr>
          <w:color w:val="000000"/>
          <w:sz w:val="24"/>
          <w:shd w:val="clear" w:color="auto" w:fill="FFFFFF"/>
        </w:rPr>
        <w:t xml:space="preserve"> a</w:t>
      </w:r>
      <w:r w:rsidR="00F843B2">
        <w:rPr>
          <w:color w:val="000000"/>
          <w:sz w:val="24"/>
          <w:shd w:val="clear" w:color="auto" w:fill="FFFFFF"/>
        </w:rPr>
        <w:t xml:space="preserve">n </w:t>
      </w:r>
      <w:r w:rsidR="00D81312">
        <w:rPr>
          <w:color w:val="000000"/>
          <w:sz w:val="24"/>
          <w:shd w:val="clear" w:color="auto" w:fill="FFFFFF"/>
        </w:rPr>
        <w:t>A</w:t>
      </w:r>
      <w:r w:rsidR="001552F9">
        <w:rPr>
          <w:color w:val="000000"/>
          <w:sz w:val="24"/>
          <w:shd w:val="clear" w:color="auto" w:fill="FFFFFF"/>
        </w:rPr>
        <w:t xml:space="preserve">ppeal </w:t>
      </w:r>
      <w:r w:rsidR="00D81312">
        <w:rPr>
          <w:color w:val="000000"/>
          <w:sz w:val="24"/>
          <w:shd w:val="clear" w:color="auto" w:fill="FFFFFF"/>
        </w:rPr>
        <w:t>S</w:t>
      </w:r>
      <w:r w:rsidR="00A02921">
        <w:rPr>
          <w:color w:val="000000"/>
          <w:sz w:val="24"/>
          <w:shd w:val="clear" w:color="auto" w:fill="FFFFFF"/>
        </w:rPr>
        <w:t>keleton</w:t>
      </w:r>
      <w:r w:rsidR="001552F9">
        <w:rPr>
          <w:color w:val="000000"/>
          <w:sz w:val="24"/>
          <w:shd w:val="clear" w:color="auto" w:fill="FFFFFF"/>
        </w:rPr>
        <w:t xml:space="preserve"> </w:t>
      </w:r>
      <w:r w:rsidR="00D81312">
        <w:rPr>
          <w:color w:val="000000"/>
          <w:sz w:val="24"/>
          <w:shd w:val="clear" w:color="auto" w:fill="FFFFFF"/>
        </w:rPr>
        <w:t>A</w:t>
      </w:r>
      <w:r w:rsidR="001552F9">
        <w:rPr>
          <w:color w:val="000000"/>
          <w:sz w:val="24"/>
          <w:shd w:val="clear" w:color="auto" w:fill="FFFFFF"/>
        </w:rPr>
        <w:t>rgument</w:t>
      </w:r>
      <w:r w:rsidR="00B53558">
        <w:rPr>
          <w:color w:val="000000"/>
          <w:sz w:val="24"/>
          <w:shd w:val="clear" w:color="auto" w:fill="FFFFFF"/>
        </w:rPr>
        <w:t xml:space="preserve"> </w:t>
      </w:r>
      <w:r w:rsidR="00F843B2">
        <w:rPr>
          <w:color w:val="000000"/>
          <w:sz w:val="24"/>
          <w:shd w:val="clear" w:color="auto" w:fill="FFFFFF"/>
        </w:rPr>
        <w:t>(</w:t>
      </w:r>
      <w:r w:rsidR="001552F9">
        <w:rPr>
          <w:color w:val="000000"/>
          <w:sz w:val="24"/>
          <w:shd w:val="clear" w:color="auto" w:fill="FFFFFF"/>
        </w:rPr>
        <w:t>‘ASA’)</w:t>
      </w:r>
      <w:r w:rsidR="005A6FC2" w:rsidRPr="00D7018F">
        <w:rPr>
          <w:color w:val="000000"/>
          <w:sz w:val="24"/>
          <w:shd w:val="clear" w:color="auto" w:fill="FFFFFF"/>
        </w:rPr>
        <w:t xml:space="preserve"> </w:t>
      </w:r>
      <w:r w:rsidR="00D54AC9">
        <w:rPr>
          <w:color w:val="000000"/>
          <w:sz w:val="24"/>
          <w:shd w:val="clear" w:color="auto" w:fill="FFFFFF"/>
        </w:rPr>
        <w:t>within</w:t>
      </w:r>
      <w:r w:rsidR="0027629A">
        <w:rPr>
          <w:color w:val="000000"/>
          <w:sz w:val="24"/>
          <w:shd w:val="clear" w:color="auto" w:fill="FFFFFF"/>
        </w:rPr>
        <w:t xml:space="preserve"> </w:t>
      </w:r>
      <w:r w:rsidR="00913133">
        <w:rPr>
          <w:color w:val="000000"/>
          <w:sz w:val="24"/>
          <w:shd w:val="clear" w:color="auto" w:fill="FFFFFF"/>
        </w:rPr>
        <w:t>1</w:t>
      </w:r>
      <w:r w:rsidR="005A6FC2" w:rsidRPr="00D7018F">
        <w:rPr>
          <w:color w:val="000000"/>
          <w:sz w:val="24"/>
          <w:shd w:val="clear" w:color="auto" w:fill="FFFFFF"/>
        </w:rPr>
        <w:t xml:space="preserve">5 working days </w:t>
      </w:r>
      <w:r w:rsidR="002127F9">
        <w:rPr>
          <w:color w:val="000000"/>
          <w:sz w:val="24"/>
          <w:shd w:val="clear" w:color="auto" w:fill="FFFFFF"/>
        </w:rPr>
        <w:t>of the date of this notice</w:t>
      </w:r>
      <w:r w:rsidRPr="00D7018F">
        <w:rPr>
          <w:color w:val="000000"/>
          <w:sz w:val="24"/>
          <w:shd w:val="clear" w:color="auto" w:fill="FFFFFF"/>
        </w:rPr>
        <w:t xml:space="preserve"> to</w:t>
      </w:r>
      <w:r w:rsidR="007827C2">
        <w:rPr>
          <w:color w:val="000000"/>
          <w:sz w:val="24"/>
          <w:shd w:val="clear" w:color="auto" w:fill="FFFFFF"/>
        </w:rPr>
        <w:t xml:space="preserve"> </w:t>
      </w:r>
      <w:hyperlink r:id="rId12" w:history="1">
        <w:r w:rsidR="00823EE9" w:rsidRPr="00823EE9">
          <w:rPr>
            <w:rStyle w:val="Hyperlink"/>
            <w:szCs w:val="22"/>
            <w:shd w:val="clear" w:color="auto" w:fill="FFFFFF"/>
          </w:rPr>
          <w:t>ecorrespondence@Justice.gov.uk</w:t>
        </w:r>
      </w:hyperlink>
    </w:p>
    <w:p w14:paraId="3F5FD7EB" w14:textId="77777777" w:rsidR="00D7018F" w:rsidRDefault="00D7018F" w:rsidP="00D7018F">
      <w:pPr>
        <w:pStyle w:val="ListParagraph"/>
        <w:rPr>
          <w:color w:val="000000"/>
          <w:sz w:val="24"/>
          <w:shd w:val="clear" w:color="auto" w:fill="FFFFFF"/>
        </w:rPr>
      </w:pPr>
    </w:p>
    <w:p w14:paraId="49BE5A24" w14:textId="1F0A392C" w:rsidR="005F2B17" w:rsidRDefault="003942AF" w:rsidP="005F2B17">
      <w:pPr>
        <w:numPr>
          <w:ilvl w:val="0"/>
          <w:numId w:val="1"/>
        </w:numPr>
        <w:ind w:hanging="720"/>
        <w:jc w:val="both"/>
        <w:rPr>
          <w:color w:val="000000"/>
          <w:sz w:val="24"/>
          <w:shd w:val="clear" w:color="auto" w:fill="FFFFFF"/>
        </w:rPr>
      </w:pPr>
      <w:r>
        <w:rPr>
          <w:color w:val="000000"/>
          <w:sz w:val="24"/>
          <w:shd w:val="clear" w:color="auto" w:fill="FFFFFF"/>
        </w:rPr>
        <w:t xml:space="preserve">Within 10 </w:t>
      </w:r>
      <w:r w:rsidR="00B53558">
        <w:rPr>
          <w:color w:val="000000"/>
          <w:sz w:val="24"/>
          <w:shd w:val="clear" w:color="auto" w:fill="FFFFFF"/>
        </w:rPr>
        <w:t>working</w:t>
      </w:r>
      <w:r>
        <w:rPr>
          <w:color w:val="000000"/>
          <w:sz w:val="24"/>
          <w:shd w:val="clear" w:color="auto" w:fill="FFFFFF"/>
        </w:rPr>
        <w:t xml:space="preserve"> days of the provision</w:t>
      </w:r>
      <w:r w:rsidR="00AD54DB">
        <w:rPr>
          <w:color w:val="000000"/>
          <w:sz w:val="24"/>
          <w:shd w:val="clear" w:color="auto" w:fill="FFFFFF"/>
        </w:rPr>
        <w:t xml:space="preserve"> of the ASA</w:t>
      </w:r>
      <w:r w:rsidR="00B53558">
        <w:rPr>
          <w:color w:val="000000"/>
          <w:sz w:val="24"/>
          <w:shd w:val="clear" w:color="auto" w:fill="FFFFFF"/>
        </w:rPr>
        <w:t xml:space="preserve"> </w:t>
      </w:r>
      <w:r w:rsidR="005F2B17" w:rsidRPr="00D7018F">
        <w:rPr>
          <w:color w:val="000000"/>
          <w:sz w:val="24"/>
          <w:shd w:val="clear" w:color="auto" w:fill="FFFFFF"/>
        </w:rPr>
        <w:t xml:space="preserve">the Respondent </w:t>
      </w:r>
      <w:r w:rsidR="00AD54DB">
        <w:rPr>
          <w:color w:val="000000"/>
          <w:sz w:val="24"/>
          <w:shd w:val="clear" w:color="auto" w:fill="FFFFFF"/>
        </w:rPr>
        <w:t>must</w:t>
      </w:r>
      <w:r w:rsidR="005F2B17" w:rsidRPr="00D7018F">
        <w:rPr>
          <w:color w:val="000000"/>
          <w:sz w:val="24"/>
          <w:shd w:val="clear" w:color="auto" w:fill="FFFFFF"/>
        </w:rPr>
        <w:t xml:space="preserve"> serve a response to </w:t>
      </w:r>
      <w:r w:rsidR="001552F9">
        <w:rPr>
          <w:color w:val="000000"/>
          <w:sz w:val="24"/>
          <w:shd w:val="clear" w:color="auto" w:fill="FFFFFF"/>
        </w:rPr>
        <w:t>the ASA</w:t>
      </w:r>
      <w:r w:rsidR="005F2B17" w:rsidRPr="00D7018F">
        <w:rPr>
          <w:color w:val="000000"/>
          <w:sz w:val="24"/>
          <w:shd w:val="clear" w:color="auto" w:fill="FFFFFF"/>
        </w:rPr>
        <w:t xml:space="preserve"> by email to the Tribunal and to the Appellant’s representatives  and i</w:t>
      </w:r>
      <w:r w:rsidR="007D33FC">
        <w:rPr>
          <w:color w:val="000000"/>
          <w:sz w:val="24"/>
          <w:shd w:val="clear" w:color="auto" w:fill="FFFFFF"/>
        </w:rPr>
        <w:t>f no response is received within the said time limit</w:t>
      </w:r>
      <w:r w:rsidR="005F2B17" w:rsidRPr="00D7018F">
        <w:rPr>
          <w:color w:val="000000"/>
          <w:sz w:val="24"/>
          <w:shd w:val="clear" w:color="auto" w:fill="FFFFFF"/>
        </w:rPr>
        <w:t xml:space="preserve"> it will be assumed that the Respondent does not take issue with th</w:t>
      </w:r>
      <w:r w:rsidR="001552F9">
        <w:rPr>
          <w:color w:val="000000"/>
          <w:sz w:val="24"/>
          <w:shd w:val="clear" w:color="auto" w:fill="FFFFFF"/>
        </w:rPr>
        <w:t xml:space="preserve">e </w:t>
      </w:r>
      <w:r w:rsidR="005F2B17" w:rsidRPr="00D7018F">
        <w:rPr>
          <w:color w:val="000000"/>
          <w:sz w:val="24"/>
          <w:shd w:val="clear" w:color="auto" w:fill="FFFFFF"/>
        </w:rPr>
        <w:t xml:space="preserve"> submissions</w:t>
      </w:r>
      <w:r w:rsidR="001552F9">
        <w:rPr>
          <w:color w:val="000000"/>
          <w:sz w:val="24"/>
          <w:shd w:val="clear" w:color="auto" w:fill="FFFFFF"/>
        </w:rPr>
        <w:t xml:space="preserve"> contained in the ASA</w:t>
      </w:r>
      <w:r w:rsidR="005F2B17" w:rsidRPr="00D7018F">
        <w:rPr>
          <w:color w:val="000000"/>
          <w:sz w:val="24"/>
          <w:shd w:val="clear" w:color="auto" w:fill="FFFFFF"/>
        </w:rPr>
        <w:t>.</w:t>
      </w:r>
    </w:p>
    <w:p w14:paraId="3A6CBEBC" w14:textId="77777777" w:rsidR="005F2B17" w:rsidRDefault="005F2B17" w:rsidP="009F446E">
      <w:pPr>
        <w:ind w:left="720"/>
        <w:jc w:val="both"/>
        <w:rPr>
          <w:color w:val="000000"/>
          <w:sz w:val="24"/>
          <w:shd w:val="clear" w:color="auto" w:fill="FFFFFF"/>
        </w:rPr>
      </w:pPr>
    </w:p>
    <w:p w14:paraId="3AEAD992" w14:textId="770C4623" w:rsidR="007E65C5" w:rsidRDefault="007E65C5" w:rsidP="007E65C5">
      <w:pPr>
        <w:numPr>
          <w:ilvl w:val="0"/>
          <w:numId w:val="1"/>
        </w:numPr>
        <w:ind w:hanging="720"/>
        <w:jc w:val="both"/>
        <w:rPr>
          <w:color w:val="000000"/>
          <w:sz w:val="24"/>
          <w:shd w:val="clear" w:color="auto" w:fill="FFFFFF"/>
        </w:rPr>
      </w:pPr>
      <w:r w:rsidRPr="00D7018F">
        <w:rPr>
          <w:color w:val="000000"/>
          <w:sz w:val="24"/>
          <w:shd w:val="clear" w:color="auto" w:fill="FFFFFF"/>
        </w:rPr>
        <w:t xml:space="preserve">The </w:t>
      </w:r>
      <w:r w:rsidR="001552F9">
        <w:rPr>
          <w:color w:val="000000"/>
          <w:sz w:val="24"/>
          <w:shd w:val="clear" w:color="auto" w:fill="FFFFFF"/>
        </w:rPr>
        <w:t>ASA</w:t>
      </w:r>
      <w:r w:rsidRPr="00D7018F">
        <w:rPr>
          <w:color w:val="000000"/>
          <w:sz w:val="24"/>
          <w:shd w:val="clear" w:color="auto" w:fill="FFFFFF"/>
        </w:rPr>
        <w:t xml:space="preserve"> and the response together with all the evidence </w:t>
      </w:r>
      <w:r w:rsidR="00F01494">
        <w:rPr>
          <w:color w:val="000000"/>
          <w:sz w:val="24"/>
          <w:shd w:val="clear" w:color="auto" w:fill="FFFFFF"/>
        </w:rPr>
        <w:t>provided</w:t>
      </w:r>
      <w:r w:rsidRPr="00D7018F">
        <w:rPr>
          <w:color w:val="000000"/>
          <w:sz w:val="24"/>
          <w:shd w:val="clear" w:color="auto" w:fill="FFFFFF"/>
        </w:rPr>
        <w:t xml:space="preserve"> will be considered by a Judge who will consider, having given the parties an opportunity to make written representations (rule 25(2))</w:t>
      </w:r>
      <w:r w:rsidR="00C2736D">
        <w:rPr>
          <w:color w:val="000000"/>
          <w:sz w:val="24"/>
          <w:shd w:val="clear" w:color="auto" w:fill="FFFFFF"/>
        </w:rPr>
        <w:t>,</w:t>
      </w:r>
      <w:r w:rsidRPr="00D7018F">
        <w:rPr>
          <w:color w:val="000000"/>
          <w:sz w:val="24"/>
          <w:shd w:val="clear" w:color="auto" w:fill="FFFFFF"/>
        </w:rPr>
        <w:t xml:space="preserve"> whether the appeal can be justly determined without a hearing (rule 25(1)(g)</w:t>
      </w:r>
      <w:r w:rsidR="00B50629">
        <w:rPr>
          <w:color w:val="000000"/>
          <w:sz w:val="24"/>
          <w:shd w:val="clear" w:color="auto" w:fill="FFFFFF"/>
        </w:rPr>
        <w:t>)</w:t>
      </w:r>
      <w:r w:rsidRPr="00D7018F">
        <w:rPr>
          <w:color w:val="000000"/>
          <w:sz w:val="24"/>
          <w:shd w:val="clear" w:color="auto" w:fill="FFFFFF"/>
        </w:rPr>
        <w:t>.</w:t>
      </w:r>
    </w:p>
    <w:p w14:paraId="239D1832" w14:textId="77777777" w:rsidR="007E65C5" w:rsidRDefault="007E65C5" w:rsidP="009F446E">
      <w:pPr>
        <w:pStyle w:val="ListParagraph"/>
        <w:rPr>
          <w:color w:val="000000"/>
          <w:sz w:val="24"/>
          <w:shd w:val="clear" w:color="auto" w:fill="FFFFFF"/>
        </w:rPr>
      </w:pPr>
    </w:p>
    <w:p w14:paraId="2B602CA2" w14:textId="4F838831" w:rsidR="00823EE9" w:rsidRDefault="00823EE9">
      <w:pPr>
        <w:rPr>
          <w:color w:val="000000"/>
          <w:sz w:val="24"/>
          <w:shd w:val="clear" w:color="auto" w:fill="FFFFFF"/>
        </w:rPr>
      </w:pPr>
      <w:r>
        <w:rPr>
          <w:color w:val="000000"/>
          <w:sz w:val="24"/>
          <w:shd w:val="clear" w:color="auto" w:fill="FFFFFF"/>
        </w:rPr>
        <w:br w:type="page"/>
      </w:r>
    </w:p>
    <w:p w14:paraId="040CAA5A" w14:textId="6796D97E" w:rsidR="007E65C5" w:rsidRDefault="007E65C5" w:rsidP="009F446E">
      <w:pPr>
        <w:ind w:left="720"/>
        <w:jc w:val="both"/>
        <w:rPr>
          <w:color w:val="000000"/>
          <w:sz w:val="24"/>
          <w:shd w:val="clear" w:color="auto" w:fill="FFFFFF"/>
        </w:rPr>
      </w:pPr>
    </w:p>
    <w:p w14:paraId="2122A044" w14:textId="3FDA16A0" w:rsidR="00823EE9" w:rsidRDefault="00823EE9" w:rsidP="009F446E">
      <w:pPr>
        <w:ind w:left="720"/>
        <w:jc w:val="both"/>
        <w:rPr>
          <w:color w:val="000000"/>
          <w:sz w:val="24"/>
          <w:shd w:val="clear" w:color="auto" w:fill="FFFFFF"/>
        </w:rPr>
      </w:pPr>
    </w:p>
    <w:p w14:paraId="2CA2DF3A" w14:textId="77777777" w:rsidR="00823EE9" w:rsidRDefault="00823EE9" w:rsidP="009F446E">
      <w:pPr>
        <w:ind w:left="720"/>
        <w:jc w:val="both"/>
        <w:rPr>
          <w:color w:val="000000"/>
          <w:sz w:val="24"/>
          <w:shd w:val="clear" w:color="auto" w:fill="FFFFFF"/>
        </w:rPr>
      </w:pPr>
    </w:p>
    <w:p w14:paraId="2E4E9B04" w14:textId="2EC23A6E" w:rsidR="00D7018F" w:rsidRDefault="00B435C1" w:rsidP="00FC271A">
      <w:pPr>
        <w:numPr>
          <w:ilvl w:val="0"/>
          <w:numId w:val="1"/>
        </w:numPr>
        <w:ind w:hanging="720"/>
        <w:jc w:val="both"/>
        <w:rPr>
          <w:color w:val="000000"/>
          <w:sz w:val="24"/>
          <w:shd w:val="clear" w:color="auto" w:fill="FFFFFF"/>
        </w:rPr>
      </w:pPr>
      <w:r w:rsidRPr="00D7018F">
        <w:rPr>
          <w:color w:val="000000"/>
          <w:sz w:val="24"/>
          <w:shd w:val="clear" w:color="auto" w:fill="FFFFFF"/>
        </w:rPr>
        <w:t xml:space="preserve">In cases concerning international protection or the revocation of international protection the Appellant, if represented, must set out at the commencement of the </w:t>
      </w:r>
      <w:r w:rsidR="00786F9A">
        <w:rPr>
          <w:color w:val="000000"/>
          <w:sz w:val="24"/>
          <w:shd w:val="clear" w:color="auto" w:fill="FFFFFF"/>
        </w:rPr>
        <w:t>ASA</w:t>
      </w:r>
      <w:r w:rsidRPr="00D7018F">
        <w:rPr>
          <w:color w:val="000000"/>
          <w:sz w:val="24"/>
          <w:shd w:val="clear" w:color="auto" w:fill="FFFFFF"/>
        </w:rPr>
        <w:t xml:space="preserve"> a summary of the Appellant’s case together with a schedule of issues as if the Pilot on-line Digital Pilot Directions applied (a copy of which </w:t>
      </w:r>
      <w:r w:rsidR="00C22686">
        <w:rPr>
          <w:color w:val="000000"/>
          <w:sz w:val="24"/>
          <w:shd w:val="clear" w:color="auto" w:fill="FFFFFF"/>
        </w:rPr>
        <w:t>is</w:t>
      </w:r>
      <w:r w:rsidRPr="00D7018F">
        <w:rPr>
          <w:color w:val="000000"/>
          <w:sz w:val="24"/>
          <w:shd w:val="clear" w:color="auto" w:fill="FFFFFF"/>
        </w:rPr>
        <w:t xml:space="preserve"> attached) and the Respondent must respond accordingly</w:t>
      </w:r>
      <w:r w:rsidR="00031F12">
        <w:rPr>
          <w:color w:val="000000"/>
          <w:sz w:val="24"/>
          <w:shd w:val="clear" w:color="auto" w:fill="FFFFFF"/>
        </w:rPr>
        <w:t xml:space="preserve"> subject to the time </w:t>
      </w:r>
      <w:r w:rsidR="00FD6FC3">
        <w:rPr>
          <w:color w:val="000000"/>
          <w:sz w:val="24"/>
          <w:shd w:val="clear" w:color="auto" w:fill="FFFFFF"/>
        </w:rPr>
        <w:t>limits</w:t>
      </w:r>
      <w:r w:rsidR="00031F12">
        <w:rPr>
          <w:color w:val="000000"/>
          <w:sz w:val="24"/>
          <w:shd w:val="clear" w:color="auto" w:fill="FFFFFF"/>
        </w:rPr>
        <w:t xml:space="preserve"> set out in this Notice being app</w:t>
      </w:r>
      <w:r w:rsidR="00FD6FC3">
        <w:rPr>
          <w:color w:val="000000"/>
          <w:sz w:val="24"/>
          <w:shd w:val="clear" w:color="auto" w:fill="FFFFFF"/>
        </w:rPr>
        <w:t>l</w:t>
      </w:r>
      <w:r w:rsidR="00031F12">
        <w:rPr>
          <w:color w:val="000000"/>
          <w:sz w:val="24"/>
          <w:shd w:val="clear" w:color="auto" w:fill="FFFFFF"/>
        </w:rPr>
        <w:t>icable</w:t>
      </w:r>
      <w:r w:rsidR="00FD6FC3">
        <w:rPr>
          <w:color w:val="000000"/>
          <w:sz w:val="24"/>
          <w:shd w:val="clear" w:color="auto" w:fill="FFFFFF"/>
        </w:rPr>
        <w:t>.</w:t>
      </w:r>
    </w:p>
    <w:p w14:paraId="189DADB1" w14:textId="77777777" w:rsidR="00D7018F" w:rsidRDefault="00D7018F" w:rsidP="00D7018F">
      <w:pPr>
        <w:pStyle w:val="ListParagraph"/>
        <w:rPr>
          <w:color w:val="000000"/>
          <w:sz w:val="24"/>
          <w:shd w:val="clear" w:color="auto" w:fill="FFFFFF"/>
        </w:rPr>
      </w:pPr>
    </w:p>
    <w:p w14:paraId="1DFB5A82" w14:textId="1FBBD995" w:rsidR="00B435C1" w:rsidRPr="00D7018F" w:rsidRDefault="00B435C1" w:rsidP="00FC271A">
      <w:pPr>
        <w:numPr>
          <w:ilvl w:val="0"/>
          <w:numId w:val="1"/>
        </w:numPr>
        <w:ind w:hanging="720"/>
        <w:jc w:val="both"/>
        <w:rPr>
          <w:color w:val="000000"/>
          <w:sz w:val="24"/>
          <w:shd w:val="clear" w:color="auto" w:fill="FFFFFF"/>
        </w:rPr>
      </w:pPr>
      <w:r w:rsidRPr="00D7018F">
        <w:rPr>
          <w:color w:val="000000"/>
          <w:sz w:val="24"/>
          <w:shd w:val="clear" w:color="auto" w:fill="FFFFFF"/>
        </w:rPr>
        <w:t xml:space="preserve">Where it is not considered appropriate for the matter to </w:t>
      </w:r>
      <w:r w:rsidR="00FD561C">
        <w:rPr>
          <w:color w:val="000000"/>
          <w:sz w:val="24"/>
          <w:shd w:val="clear" w:color="auto" w:fill="FFFFFF"/>
        </w:rPr>
        <w:t>proceed</w:t>
      </w:r>
      <w:r w:rsidRPr="00D7018F">
        <w:rPr>
          <w:color w:val="000000"/>
          <w:sz w:val="24"/>
          <w:shd w:val="clear" w:color="auto" w:fill="FFFFFF"/>
        </w:rPr>
        <w:t xml:space="preserve"> without a hearing, consideration will be given to the hearing of this appeal by remote means. To that end each party must provide </w:t>
      </w:r>
      <w:r w:rsidR="005A6FC2" w:rsidRPr="00D7018F">
        <w:rPr>
          <w:color w:val="000000"/>
          <w:sz w:val="24"/>
          <w:shd w:val="clear" w:color="auto" w:fill="FFFFFF"/>
        </w:rPr>
        <w:t>at the CMR or before</w:t>
      </w:r>
    </w:p>
    <w:p w14:paraId="4ECBDD41" w14:textId="77777777" w:rsidR="00B435C1" w:rsidRPr="00B435C1" w:rsidRDefault="00B435C1" w:rsidP="00B435C1">
      <w:pPr>
        <w:ind w:left="720" w:hanging="720"/>
        <w:jc w:val="both"/>
        <w:rPr>
          <w:color w:val="000000"/>
          <w:sz w:val="24"/>
          <w:shd w:val="clear" w:color="auto" w:fill="FFFFFF"/>
        </w:rPr>
      </w:pPr>
    </w:p>
    <w:p w14:paraId="298A7D99" w14:textId="41012ED9" w:rsidR="007336D4" w:rsidRPr="007336D4" w:rsidRDefault="00B435C1" w:rsidP="007336D4">
      <w:pPr>
        <w:pStyle w:val="ListParagraph"/>
        <w:numPr>
          <w:ilvl w:val="0"/>
          <w:numId w:val="2"/>
        </w:numPr>
        <w:jc w:val="both"/>
        <w:rPr>
          <w:color w:val="000000"/>
          <w:sz w:val="24"/>
          <w:shd w:val="clear" w:color="auto" w:fill="FFFFFF"/>
        </w:rPr>
      </w:pPr>
      <w:r w:rsidRPr="007336D4">
        <w:rPr>
          <w:color w:val="000000"/>
          <w:sz w:val="24"/>
          <w:shd w:val="clear" w:color="auto" w:fill="FFFFFF"/>
        </w:rPr>
        <w:t>the means by which they</w:t>
      </w:r>
      <w:r w:rsidR="000A72F1" w:rsidRPr="007336D4">
        <w:rPr>
          <w:color w:val="000000"/>
          <w:sz w:val="24"/>
          <w:shd w:val="clear" w:color="auto" w:fill="FFFFFF"/>
        </w:rPr>
        <w:t>, the appellant</w:t>
      </w:r>
      <w:r w:rsidR="00F759DF" w:rsidRPr="007336D4">
        <w:rPr>
          <w:color w:val="000000"/>
          <w:sz w:val="24"/>
          <w:shd w:val="clear" w:color="auto" w:fill="FFFFFF"/>
        </w:rPr>
        <w:t>(</w:t>
      </w:r>
      <w:r w:rsidR="000A72F1" w:rsidRPr="007336D4">
        <w:rPr>
          <w:color w:val="000000"/>
          <w:sz w:val="24"/>
          <w:shd w:val="clear" w:color="auto" w:fill="FFFFFF"/>
        </w:rPr>
        <w:t>s</w:t>
      </w:r>
      <w:r w:rsidR="006F1ADB" w:rsidRPr="007336D4">
        <w:rPr>
          <w:color w:val="000000"/>
          <w:sz w:val="24"/>
          <w:shd w:val="clear" w:color="auto" w:fill="FFFFFF"/>
        </w:rPr>
        <w:t>)</w:t>
      </w:r>
      <w:r w:rsidR="000A72F1" w:rsidRPr="007336D4">
        <w:rPr>
          <w:color w:val="000000"/>
          <w:sz w:val="24"/>
          <w:shd w:val="clear" w:color="auto" w:fill="FFFFFF"/>
        </w:rPr>
        <w:t xml:space="preserve"> and any witnesses</w:t>
      </w:r>
      <w:r w:rsidR="00E43C2E" w:rsidRPr="007336D4">
        <w:rPr>
          <w:color w:val="000000"/>
          <w:sz w:val="24"/>
          <w:shd w:val="clear" w:color="auto" w:fill="FFFFFF"/>
        </w:rPr>
        <w:t>,</w:t>
      </w:r>
      <w:r w:rsidRPr="007336D4">
        <w:rPr>
          <w:color w:val="000000"/>
          <w:sz w:val="24"/>
          <w:shd w:val="clear" w:color="auto" w:fill="FFFFFF"/>
        </w:rPr>
        <w:t xml:space="preserve"> </w:t>
      </w:r>
      <w:r w:rsidR="00C2736D" w:rsidRPr="007336D4">
        <w:rPr>
          <w:color w:val="000000"/>
          <w:sz w:val="24"/>
          <w:shd w:val="clear" w:color="auto" w:fill="FFFFFF"/>
        </w:rPr>
        <w:t xml:space="preserve">will </w:t>
      </w:r>
      <w:r w:rsidRPr="007336D4">
        <w:rPr>
          <w:color w:val="000000"/>
          <w:sz w:val="24"/>
          <w:shd w:val="clear" w:color="auto" w:fill="FFFFFF"/>
        </w:rPr>
        <w:t xml:space="preserve">engage with the Tribunal </w:t>
      </w:r>
      <w:r w:rsidR="006F1ADB" w:rsidRPr="007336D4">
        <w:rPr>
          <w:color w:val="000000"/>
          <w:sz w:val="24"/>
          <w:shd w:val="clear" w:color="auto" w:fill="FFFFFF"/>
        </w:rPr>
        <w:t>(</w:t>
      </w:r>
      <w:r w:rsidRPr="007336D4">
        <w:rPr>
          <w:color w:val="000000"/>
          <w:sz w:val="24"/>
          <w:shd w:val="clear" w:color="auto" w:fill="FFFFFF"/>
        </w:rPr>
        <w:t>the Tribunal expects all representatives to have access to Skype or Skype for Business</w:t>
      </w:r>
      <w:proofErr w:type="gramStart"/>
      <w:r w:rsidR="006F1ADB" w:rsidRPr="007336D4">
        <w:rPr>
          <w:color w:val="000000"/>
          <w:sz w:val="24"/>
          <w:shd w:val="clear" w:color="auto" w:fill="FFFFFF"/>
        </w:rPr>
        <w:t>)</w:t>
      </w:r>
      <w:r w:rsidRPr="007336D4">
        <w:rPr>
          <w:color w:val="000000"/>
          <w:sz w:val="24"/>
          <w:shd w:val="clear" w:color="auto" w:fill="FFFFFF"/>
        </w:rPr>
        <w:t>;</w:t>
      </w:r>
      <w:proofErr w:type="gramEnd"/>
    </w:p>
    <w:p w14:paraId="5AA8558E" w14:textId="77777777" w:rsidR="007336D4" w:rsidRDefault="007336D4" w:rsidP="00A12E0D">
      <w:pPr>
        <w:pStyle w:val="ListParagraph"/>
        <w:numPr>
          <w:ilvl w:val="0"/>
          <w:numId w:val="2"/>
        </w:numPr>
        <w:ind w:hanging="731"/>
        <w:jc w:val="both"/>
        <w:rPr>
          <w:color w:val="000000"/>
          <w:sz w:val="24"/>
          <w:shd w:val="clear" w:color="auto" w:fill="FFFFFF"/>
        </w:rPr>
      </w:pPr>
      <w:r w:rsidRPr="007336D4">
        <w:rPr>
          <w:color w:val="000000"/>
          <w:sz w:val="24"/>
          <w:shd w:val="clear" w:color="auto" w:fill="FFFFFF"/>
        </w:rPr>
        <w:t>t</w:t>
      </w:r>
      <w:r w:rsidR="00B435C1" w:rsidRPr="007336D4">
        <w:rPr>
          <w:color w:val="000000"/>
          <w:sz w:val="24"/>
          <w:shd w:val="clear" w:color="auto" w:fill="FFFFFF"/>
        </w:rPr>
        <w:t xml:space="preserve">he location of the </w:t>
      </w:r>
      <w:proofErr w:type="gramStart"/>
      <w:r w:rsidR="00B12652" w:rsidRPr="007336D4">
        <w:rPr>
          <w:color w:val="000000"/>
          <w:sz w:val="24"/>
          <w:shd w:val="clear" w:color="auto" w:fill="FFFFFF"/>
        </w:rPr>
        <w:t>A</w:t>
      </w:r>
      <w:r w:rsidR="00B435C1" w:rsidRPr="007336D4">
        <w:rPr>
          <w:color w:val="000000"/>
          <w:sz w:val="24"/>
          <w:shd w:val="clear" w:color="auto" w:fill="FFFFFF"/>
        </w:rPr>
        <w:t>ppellant;</w:t>
      </w:r>
      <w:proofErr w:type="gramEnd"/>
    </w:p>
    <w:p w14:paraId="0CF6A218" w14:textId="77777777" w:rsidR="007336D4" w:rsidRDefault="00B435C1" w:rsidP="00A12E0D">
      <w:pPr>
        <w:pStyle w:val="ListParagraph"/>
        <w:numPr>
          <w:ilvl w:val="0"/>
          <w:numId w:val="2"/>
        </w:numPr>
        <w:ind w:hanging="731"/>
        <w:jc w:val="both"/>
        <w:rPr>
          <w:color w:val="000000"/>
          <w:sz w:val="24"/>
          <w:shd w:val="clear" w:color="auto" w:fill="FFFFFF"/>
        </w:rPr>
      </w:pPr>
      <w:r w:rsidRPr="007336D4">
        <w:rPr>
          <w:color w:val="000000"/>
          <w:sz w:val="24"/>
          <w:shd w:val="clear" w:color="auto" w:fill="FFFFFF"/>
        </w:rPr>
        <w:t xml:space="preserve">the location of each witness, if </w:t>
      </w:r>
      <w:proofErr w:type="gramStart"/>
      <w:r w:rsidRPr="007336D4">
        <w:rPr>
          <w:color w:val="000000"/>
          <w:sz w:val="24"/>
          <w:shd w:val="clear" w:color="auto" w:fill="FFFFFF"/>
        </w:rPr>
        <w:t>any;</w:t>
      </w:r>
      <w:proofErr w:type="gramEnd"/>
    </w:p>
    <w:p w14:paraId="02A691E9" w14:textId="77777777" w:rsidR="007336D4" w:rsidRDefault="00B435C1" w:rsidP="00C574F0">
      <w:pPr>
        <w:pStyle w:val="ListParagraph"/>
        <w:numPr>
          <w:ilvl w:val="0"/>
          <w:numId w:val="2"/>
        </w:numPr>
        <w:jc w:val="both"/>
        <w:rPr>
          <w:color w:val="000000"/>
          <w:sz w:val="24"/>
          <w:shd w:val="clear" w:color="auto" w:fill="FFFFFF"/>
        </w:rPr>
      </w:pPr>
      <w:r w:rsidRPr="007336D4">
        <w:rPr>
          <w:color w:val="000000"/>
          <w:sz w:val="24"/>
          <w:shd w:val="clear" w:color="auto" w:fill="FFFFFF"/>
        </w:rPr>
        <w:t>language of interpreter</w:t>
      </w:r>
      <w:r w:rsidR="00B12652" w:rsidRPr="007336D4">
        <w:rPr>
          <w:color w:val="000000"/>
          <w:sz w:val="24"/>
          <w:shd w:val="clear" w:color="auto" w:fill="FFFFFF"/>
        </w:rPr>
        <w:t>(</w:t>
      </w:r>
      <w:r w:rsidRPr="007336D4">
        <w:rPr>
          <w:color w:val="000000"/>
          <w:sz w:val="24"/>
          <w:shd w:val="clear" w:color="auto" w:fill="FFFFFF"/>
        </w:rPr>
        <w:t>s</w:t>
      </w:r>
      <w:r w:rsidR="00B12652" w:rsidRPr="007336D4">
        <w:rPr>
          <w:color w:val="000000"/>
          <w:sz w:val="24"/>
          <w:shd w:val="clear" w:color="auto" w:fill="FFFFFF"/>
        </w:rPr>
        <w:t>)</w:t>
      </w:r>
      <w:r w:rsidRPr="007336D4">
        <w:rPr>
          <w:color w:val="000000"/>
          <w:sz w:val="24"/>
          <w:shd w:val="clear" w:color="auto" w:fill="FFFFFF"/>
        </w:rPr>
        <w:t xml:space="preserve"> if not already </w:t>
      </w:r>
      <w:proofErr w:type="gramStart"/>
      <w:r w:rsidRPr="007336D4">
        <w:rPr>
          <w:color w:val="000000"/>
          <w:sz w:val="24"/>
          <w:shd w:val="clear" w:color="auto" w:fill="FFFFFF"/>
        </w:rPr>
        <w:t>provided;</w:t>
      </w:r>
      <w:proofErr w:type="gramEnd"/>
    </w:p>
    <w:p w14:paraId="11813AAE" w14:textId="77777777" w:rsidR="00576E4B" w:rsidRDefault="00C62669" w:rsidP="007017A3">
      <w:pPr>
        <w:pStyle w:val="ListParagraph"/>
        <w:numPr>
          <w:ilvl w:val="0"/>
          <w:numId w:val="2"/>
        </w:numPr>
        <w:jc w:val="both"/>
        <w:rPr>
          <w:color w:val="000000"/>
          <w:sz w:val="24"/>
          <w:shd w:val="clear" w:color="auto" w:fill="FFFFFF"/>
        </w:rPr>
      </w:pPr>
      <w:r w:rsidRPr="00576E4B">
        <w:rPr>
          <w:color w:val="000000"/>
          <w:sz w:val="24"/>
          <w:shd w:val="clear" w:color="auto" w:fill="FFFFFF"/>
        </w:rPr>
        <w:t>t</w:t>
      </w:r>
      <w:r w:rsidR="00B435C1" w:rsidRPr="00576E4B">
        <w:rPr>
          <w:color w:val="000000"/>
          <w:sz w:val="24"/>
          <w:shd w:val="clear" w:color="auto" w:fill="FFFFFF"/>
        </w:rPr>
        <w:t xml:space="preserve">he number of pages in the bundle of documents to be relied </w:t>
      </w:r>
      <w:proofErr w:type="gramStart"/>
      <w:r w:rsidR="00B435C1" w:rsidRPr="00576E4B">
        <w:rPr>
          <w:color w:val="000000"/>
          <w:sz w:val="24"/>
          <w:shd w:val="clear" w:color="auto" w:fill="FFFFFF"/>
        </w:rPr>
        <w:t>upon</w:t>
      </w:r>
      <w:r w:rsidR="007336D4" w:rsidRPr="00576E4B">
        <w:rPr>
          <w:color w:val="000000"/>
          <w:sz w:val="24"/>
          <w:shd w:val="clear" w:color="auto" w:fill="FFFFFF"/>
        </w:rPr>
        <w:t>;</w:t>
      </w:r>
      <w:proofErr w:type="gramEnd"/>
    </w:p>
    <w:p w14:paraId="4F48E492" w14:textId="77777777" w:rsidR="00A065F5" w:rsidRDefault="00C62669" w:rsidP="0034367A">
      <w:pPr>
        <w:pStyle w:val="ListParagraph"/>
        <w:numPr>
          <w:ilvl w:val="0"/>
          <w:numId w:val="2"/>
        </w:numPr>
        <w:jc w:val="both"/>
        <w:rPr>
          <w:color w:val="000000"/>
          <w:sz w:val="24"/>
          <w:shd w:val="clear" w:color="auto" w:fill="FFFFFF"/>
        </w:rPr>
      </w:pPr>
      <w:r w:rsidRPr="00576E4B">
        <w:rPr>
          <w:color w:val="000000"/>
          <w:sz w:val="24"/>
          <w:shd w:val="clear" w:color="auto" w:fill="FFFFFF"/>
        </w:rPr>
        <w:t>n</w:t>
      </w:r>
      <w:r w:rsidR="0069507E" w:rsidRPr="00576E4B">
        <w:rPr>
          <w:color w:val="000000"/>
          <w:sz w:val="24"/>
          <w:shd w:val="clear" w:color="auto" w:fill="FFFFFF"/>
        </w:rPr>
        <w:t xml:space="preserve">o bundle </w:t>
      </w:r>
      <w:r w:rsidR="000C57FE" w:rsidRPr="00576E4B">
        <w:rPr>
          <w:color w:val="000000"/>
          <w:sz w:val="24"/>
          <w:shd w:val="clear" w:color="auto" w:fill="FFFFFF"/>
        </w:rPr>
        <w:t xml:space="preserve">may exceed 50 pages without the </w:t>
      </w:r>
      <w:r w:rsidR="00F934FD" w:rsidRPr="00576E4B">
        <w:rPr>
          <w:color w:val="000000"/>
          <w:sz w:val="24"/>
          <w:shd w:val="clear" w:color="auto" w:fill="FFFFFF"/>
        </w:rPr>
        <w:t xml:space="preserve">consent of the </w:t>
      </w:r>
      <w:proofErr w:type="gramStart"/>
      <w:r w:rsidR="00F934FD" w:rsidRPr="00576E4B">
        <w:rPr>
          <w:color w:val="000000"/>
          <w:sz w:val="24"/>
          <w:shd w:val="clear" w:color="auto" w:fill="FFFFFF"/>
        </w:rPr>
        <w:t>Tribunal</w:t>
      </w:r>
      <w:r w:rsidR="00E66FDC" w:rsidRPr="00576E4B">
        <w:rPr>
          <w:color w:val="000000"/>
          <w:sz w:val="24"/>
          <w:shd w:val="clear" w:color="auto" w:fill="FFFFFF"/>
        </w:rPr>
        <w:t>;</w:t>
      </w:r>
      <w:proofErr w:type="gramEnd"/>
    </w:p>
    <w:p w14:paraId="10C2C792" w14:textId="4DD13E90" w:rsidR="00E43C2E" w:rsidRPr="00576E4B" w:rsidRDefault="00975B79" w:rsidP="0034367A">
      <w:pPr>
        <w:pStyle w:val="ListParagraph"/>
        <w:numPr>
          <w:ilvl w:val="0"/>
          <w:numId w:val="2"/>
        </w:numPr>
        <w:jc w:val="both"/>
        <w:rPr>
          <w:color w:val="000000"/>
          <w:sz w:val="24"/>
          <w:shd w:val="clear" w:color="auto" w:fill="FFFFFF"/>
        </w:rPr>
      </w:pPr>
      <w:r w:rsidRPr="00576E4B">
        <w:rPr>
          <w:color w:val="000000"/>
          <w:sz w:val="24"/>
          <w:shd w:val="clear" w:color="auto" w:fill="FFFFFF"/>
        </w:rPr>
        <w:t>any</w:t>
      </w:r>
      <w:r w:rsidR="00E66FDC" w:rsidRPr="00576E4B">
        <w:rPr>
          <w:color w:val="000000"/>
          <w:sz w:val="24"/>
          <w:shd w:val="clear" w:color="auto" w:fill="FFFFFF"/>
        </w:rPr>
        <w:t xml:space="preserve"> documents provided to the Tribunal must be in .pdf format and reduced to the minimum number of documents required</w:t>
      </w:r>
      <w:r w:rsidR="007336D4" w:rsidRPr="00576E4B">
        <w:rPr>
          <w:color w:val="000000"/>
          <w:sz w:val="24"/>
          <w:shd w:val="clear" w:color="auto" w:fill="FFFFFF"/>
        </w:rPr>
        <w:t>, f</w:t>
      </w:r>
      <w:r w:rsidR="00E66FDC" w:rsidRPr="00576E4B">
        <w:rPr>
          <w:color w:val="000000"/>
          <w:sz w:val="24"/>
          <w:shd w:val="clear" w:color="auto" w:fill="FFFFFF"/>
        </w:rPr>
        <w:t>or the avoidance of doubt generic bundles will not be accepted</w:t>
      </w:r>
      <w:r w:rsidR="00A065F5">
        <w:rPr>
          <w:color w:val="000000"/>
          <w:sz w:val="24"/>
          <w:shd w:val="clear" w:color="auto" w:fill="FFFFFF"/>
        </w:rPr>
        <w:t>.</w:t>
      </w:r>
    </w:p>
    <w:p w14:paraId="3EF7ED18" w14:textId="484F9333" w:rsidR="00F3180C" w:rsidRDefault="00F3180C" w:rsidP="00B435C1">
      <w:pPr>
        <w:ind w:left="1440" w:hanging="720"/>
        <w:jc w:val="both"/>
        <w:rPr>
          <w:color w:val="000000"/>
          <w:sz w:val="24"/>
          <w:shd w:val="clear" w:color="auto" w:fill="FFFFFF"/>
        </w:rPr>
      </w:pPr>
    </w:p>
    <w:p w14:paraId="2FCEF16E" w14:textId="3110E400" w:rsidR="00F3180C" w:rsidRDefault="00F3180C" w:rsidP="00B435C1">
      <w:pPr>
        <w:ind w:left="1440" w:hanging="720"/>
        <w:jc w:val="both"/>
        <w:rPr>
          <w:color w:val="000000"/>
          <w:sz w:val="24"/>
          <w:shd w:val="clear" w:color="auto" w:fill="FFFFFF"/>
        </w:rPr>
      </w:pPr>
    </w:p>
    <w:p w14:paraId="7007A213" w14:textId="5FFBA912" w:rsidR="00F3180C" w:rsidRDefault="00F3180C" w:rsidP="00B435C1">
      <w:pPr>
        <w:ind w:left="1440" w:hanging="720"/>
        <w:jc w:val="both"/>
        <w:rPr>
          <w:color w:val="000000"/>
          <w:sz w:val="24"/>
          <w:shd w:val="clear" w:color="auto" w:fill="FFFFFF"/>
        </w:rPr>
      </w:pPr>
    </w:p>
    <w:p w14:paraId="5CF76D67" w14:textId="77777777" w:rsidR="00823EE9" w:rsidRDefault="00823EE9" w:rsidP="00823EE9">
      <w:pPr>
        <w:ind w:left="1440" w:hanging="720"/>
        <w:jc w:val="both"/>
        <w:rPr>
          <w:color w:val="000000"/>
          <w:sz w:val="24"/>
          <w:shd w:val="clear" w:color="auto" w:fill="FFFFFF"/>
        </w:rPr>
      </w:pPr>
    </w:p>
    <w:p w14:paraId="1B2CFCC9" w14:textId="77777777" w:rsidR="00823EE9" w:rsidRDefault="00823EE9" w:rsidP="00823EE9">
      <w:pPr>
        <w:ind w:left="1440" w:hanging="720"/>
        <w:jc w:val="both"/>
        <w:rPr>
          <w:color w:val="000000"/>
          <w:sz w:val="24"/>
          <w:shd w:val="clear" w:color="auto" w:fill="FFFFFF"/>
        </w:rPr>
      </w:pPr>
    </w:p>
    <w:p w14:paraId="27EA61DE" w14:textId="77777777" w:rsidR="00823EE9" w:rsidRDefault="00823EE9" w:rsidP="00823EE9">
      <w:pPr>
        <w:ind w:left="1440" w:hanging="720"/>
        <w:jc w:val="both"/>
        <w:rPr>
          <w:color w:val="000000"/>
          <w:sz w:val="24"/>
          <w:shd w:val="clear" w:color="auto" w:fill="FFFFFF"/>
        </w:rPr>
      </w:pPr>
    </w:p>
    <w:p w14:paraId="65B959FD" w14:textId="77777777" w:rsidR="00823EE9" w:rsidRDefault="00823EE9" w:rsidP="00823EE9">
      <w:pPr>
        <w:ind w:left="1440" w:hanging="720"/>
        <w:jc w:val="both"/>
        <w:rPr>
          <w:color w:val="000000"/>
          <w:sz w:val="24"/>
          <w:shd w:val="clear" w:color="auto" w:fill="FFFFFF"/>
        </w:rPr>
      </w:pPr>
      <w:r>
        <w:rPr>
          <w:noProof/>
        </w:rPr>
        <mc:AlternateContent>
          <mc:Choice Requires="wpi">
            <w:drawing>
              <wp:anchor distT="0" distB="0" distL="114300" distR="114300" simplePos="0" relativeHeight="251659264" behindDoc="0" locked="0" layoutInCell="1" allowOverlap="1" wp14:anchorId="4BA6BF46" wp14:editId="5704B1F3">
                <wp:simplePos x="0" y="0"/>
                <wp:positionH relativeFrom="column">
                  <wp:posOffset>111125</wp:posOffset>
                </wp:positionH>
                <wp:positionV relativeFrom="paragraph">
                  <wp:posOffset>-250825</wp:posOffset>
                </wp:positionV>
                <wp:extent cx="2658110" cy="774700"/>
                <wp:effectExtent l="47625" t="62865" r="46990" b="38735"/>
                <wp:wrapNone/>
                <wp:docPr id="4"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2658110" cy="774700"/>
                      </w14:xfrm>
                    </w14:contentPart>
                  </a:graphicData>
                </a:graphic>
                <wp14:sizeRelH relativeFrom="page">
                  <wp14:pctWidth>0</wp14:pctWidth>
                </wp14:sizeRelH>
                <wp14:sizeRelV relativeFrom="page">
                  <wp14:pctHeight>0</wp14:pctHeight>
                </wp14:sizeRelV>
              </wp:anchor>
            </w:drawing>
          </mc:Choice>
          <mc:Fallback>
            <w:pict>
              <v:shapetype w14:anchorId="416E22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05pt;margin-top:-20.45pt;width:210.7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">
                <v:imagedata r:id="rId14" o:title=""/>
                <o:lock v:ext="edit" rotation="t" verticies="t" shapetype="t"/>
              </v:shape>
            </w:pict>
          </mc:Fallback>
        </mc:AlternateContent>
      </w:r>
    </w:p>
    <w:p w14:paraId="12BE1EAC" w14:textId="77777777" w:rsidR="00823EE9" w:rsidRDefault="00823EE9" w:rsidP="00823EE9">
      <w:pPr>
        <w:ind w:left="1440" w:hanging="720"/>
        <w:jc w:val="both"/>
        <w:rPr>
          <w:color w:val="000000"/>
          <w:sz w:val="24"/>
          <w:shd w:val="clear" w:color="auto" w:fill="FFFFFF"/>
        </w:rPr>
      </w:pPr>
    </w:p>
    <w:p w14:paraId="22AB6535" w14:textId="77777777" w:rsidR="00823EE9" w:rsidRDefault="00823EE9" w:rsidP="00823EE9">
      <w:pPr>
        <w:ind w:left="1440" w:hanging="720"/>
        <w:jc w:val="both"/>
        <w:rPr>
          <w:color w:val="000000"/>
          <w:sz w:val="24"/>
          <w:shd w:val="clear" w:color="auto" w:fill="FFFFFF"/>
        </w:rPr>
      </w:pPr>
      <w:r>
        <w:rPr>
          <w:color w:val="000000"/>
          <w:sz w:val="24"/>
          <w:shd w:val="clear" w:color="auto" w:fill="FFFFFF"/>
        </w:rPr>
        <w:t>………………………………</w:t>
      </w:r>
    </w:p>
    <w:p w14:paraId="245668FD" w14:textId="307B0D47" w:rsidR="00823EE9" w:rsidRPr="005E1E59" w:rsidRDefault="00823EE9" w:rsidP="00823EE9">
      <w:pPr>
        <w:tabs>
          <w:tab w:val="left" w:pos="5930"/>
        </w:tabs>
        <w:rPr>
          <w:rFonts w:cs="Arial"/>
          <w:szCs w:val="22"/>
        </w:rPr>
      </w:pPr>
      <w:r>
        <w:rPr>
          <w:color w:val="000000"/>
          <w:sz w:val="24"/>
          <w:shd w:val="clear" w:color="auto" w:fill="FFFFFF"/>
        </w:rPr>
        <w:t>Resident Judge J F W Phillips                                      Date:</w:t>
      </w:r>
      <w:r w:rsidRPr="008E06BD">
        <w:rPr>
          <w:rFonts w:cs="Arial"/>
          <w:szCs w:val="22"/>
        </w:rPr>
        <w:t xml:space="preserve"> </w:t>
      </w:r>
      <w:r>
        <w:rPr>
          <w:rFonts w:cs="Arial"/>
          <w:szCs w:val="22"/>
        </w:rPr>
        <w:fldChar w:fldCharType="begin"/>
      </w:r>
      <w:r>
        <w:rPr>
          <w:rFonts w:cs="Arial"/>
          <w:szCs w:val="22"/>
        </w:rPr>
        <w:instrText xml:space="preserve"> DATE  \@ "dd MMMM yyyy"  \* MERGEFORMAT </w:instrText>
      </w:r>
      <w:r>
        <w:rPr>
          <w:rFonts w:cs="Arial"/>
          <w:szCs w:val="22"/>
        </w:rPr>
        <w:fldChar w:fldCharType="separate"/>
      </w:r>
      <w:r w:rsidR="00E108A1">
        <w:rPr>
          <w:rFonts w:cs="Arial"/>
          <w:noProof/>
          <w:szCs w:val="22"/>
        </w:rPr>
        <w:t>24 March 2020</w:t>
      </w:r>
      <w:r>
        <w:rPr>
          <w:rFonts w:cs="Arial"/>
          <w:szCs w:val="22"/>
        </w:rPr>
        <w:fldChar w:fldCharType="end"/>
      </w:r>
    </w:p>
    <w:p w14:paraId="2206775F" w14:textId="77777777" w:rsidR="00823EE9" w:rsidRDefault="00823EE9" w:rsidP="00823EE9">
      <w:pPr>
        <w:ind w:left="1440" w:hanging="720"/>
        <w:jc w:val="both"/>
        <w:rPr>
          <w:color w:val="000000"/>
          <w:sz w:val="24"/>
          <w:shd w:val="clear" w:color="auto" w:fill="FFFFFF"/>
        </w:rPr>
      </w:pPr>
    </w:p>
    <w:p w14:paraId="6D1E3999" w14:textId="77777777" w:rsidR="00823EE9" w:rsidRDefault="00823EE9" w:rsidP="00823EE9">
      <w:pPr>
        <w:jc w:val="both"/>
        <w:rPr>
          <w:color w:val="000000"/>
          <w:sz w:val="24"/>
          <w:shd w:val="clear" w:color="auto" w:fill="FFFFFF"/>
        </w:rPr>
      </w:pPr>
    </w:p>
    <w:p w14:paraId="3B94845D" w14:textId="77777777" w:rsidR="00823EE9" w:rsidRDefault="00823EE9" w:rsidP="00823EE9">
      <w:pPr>
        <w:jc w:val="center"/>
        <w:rPr>
          <w:color w:val="000000"/>
          <w:sz w:val="24"/>
          <w:shd w:val="clear" w:color="auto" w:fill="FFFFFF"/>
        </w:rPr>
      </w:pPr>
    </w:p>
    <w:p w14:paraId="0B48BF0D" w14:textId="1682C59B" w:rsidR="008C021B" w:rsidRDefault="008C021B" w:rsidP="006C7FFE">
      <w:pPr>
        <w:rPr>
          <w:color w:val="FF0000"/>
          <w:szCs w:val="22"/>
          <w:shd w:val="clear" w:color="auto" w:fill="FFFFFF"/>
        </w:rPr>
      </w:pPr>
    </w:p>
    <w:p w14:paraId="31E37E43" w14:textId="5CF9AC63" w:rsidR="00823EE9" w:rsidRDefault="00823EE9">
      <w:pPr>
        <w:rPr>
          <w:color w:val="FF0000"/>
          <w:szCs w:val="22"/>
          <w:shd w:val="clear" w:color="auto" w:fill="FFFFFF"/>
        </w:rPr>
      </w:pPr>
      <w:r>
        <w:rPr>
          <w:color w:val="FF0000"/>
          <w:szCs w:val="22"/>
          <w:shd w:val="clear" w:color="auto" w:fill="FFFFFF"/>
        </w:rPr>
        <w:br w:type="page"/>
      </w:r>
    </w:p>
    <w:p w14:paraId="07B8C756" w14:textId="77777777" w:rsidR="00823EE9" w:rsidRDefault="00823EE9" w:rsidP="00823EE9">
      <w:pPr>
        <w:jc w:val="center"/>
        <w:rPr>
          <w:rFonts w:ascii="Book Antiqua" w:hAnsi="Book Antiqua"/>
        </w:rPr>
      </w:pPr>
      <w:r w:rsidRPr="00A62E58">
        <w:rPr>
          <w:rFonts w:ascii="Book Antiqua" w:hAnsi="Book Antiqua"/>
          <w:noProof/>
        </w:rPr>
        <w:lastRenderedPageBreak/>
        <w:drawing>
          <wp:inline distT="0" distB="0" distL="0" distR="0" wp14:anchorId="1ED2E498" wp14:editId="1B985D15">
            <wp:extent cx="1390650" cy="1050290"/>
            <wp:effectExtent l="19050" t="0" r="0" b="0"/>
            <wp:docPr id="2" name="Picture 2"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15" cstate="print"/>
                    <a:srcRect r="81482" b="-7655"/>
                    <a:stretch>
                      <a:fillRect/>
                    </a:stretch>
                  </pic:blipFill>
                  <pic:spPr bwMode="auto">
                    <a:xfrm>
                      <a:off x="0" y="0"/>
                      <a:ext cx="1390650" cy="1050290"/>
                    </a:xfrm>
                    <a:prstGeom prst="rect">
                      <a:avLst/>
                    </a:prstGeom>
                    <a:noFill/>
                    <a:ln w="9525">
                      <a:noFill/>
                      <a:miter lim="800000"/>
                      <a:headEnd/>
                      <a:tailEnd/>
                    </a:ln>
                  </pic:spPr>
                </pic:pic>
              </a:graphicData>
            </a:graphic>
          </wp:inline>
        </w:drawing>
      </w:r>
    </w:p>
    <w:p w14:paraId="56C3EBE8" w14:textId="77777777" w:rsidR="00823EE9" w:rsidRDefault="00823EE9" w:rsidP="00823EE9">
      <w:pPr>
        <w:jc w:val="center"/>
        <w:rPr>
          <w:rFonts w:ascii="Book Antiqua" w:hAnsi="Book Antiqua"/>
        </w:rPr>
      </w:pPr>
    </w:p>
    <w:p w14:paraId="353E0FEE" w14:textId="77777777" w:rsidR="00823EE9" w:rsidRPr="00470A36" w:rsidRDefault="00823EE9" w:rsidP="00823EE9">
      <w:pPr>
        <w:jc w:val="center"/>
        <w:rPr>
          <w:rFonts w:ascii="Book Antiqua" w:hAnsi="Book Antiqua"/>
          <w:b/>
        </w:rPr>
      </w:pPr>
      <w:r w:rsidRPr="00470A36">
        <w:rPr>
          <w:rFonts w:ascii="Book Antiqua" w:hAnsi="Book Antiqua"/>
          <w:b/>
        </w:rPr>
        <w:t>FIRST-TIER TRIBUNAL (IAC) ON-LINE DIRECTIONS</w:t>
      </w:r>
      <w:r>
        <w:rPr>
          <w:rFonts w:ascii="Book Antiqua" w:hAnsi="Book Antiqua"/>
          <w:b/>
        </w:rPr>
        <w:br/>
        <w:t>(all centres)</w:t>
      </w:r>
    </w:p>
    <w:p w14:paraId="28F5DF79" w14:textId="77777777" w:rsidR="00823EE9" w:rsidRPr="00684B37" w:rsidRDefault="00823EE9" w:rsidP="00823EE9">
      <w:pPr>
        <w:jc w:val="center"/>
        <w:rPr>
          <w:rFonts w:ascii="Book Antiqua" w:hAnsi="Book Antiqua"/>
          <w:b/>
        </w:rPr>
      </w:pPr>
    </w:p>
    <w:p w14:paraId="7B8AFFC4" w14:textId="77777777" w:rsidR="00823EE9" w:rsidRPr="00684B37" w:rsidRDefault="00823EE9" w:rsidP="00823EE9">
      <w:pPr>
        <w:jc w:val="center"/>
        <w:rPr>
          <w:rFonts w:ascii="Book Antiqua" w:hAnsi="Book Antiqua"/>
          <w:b/>
        </w:rPr>
      </w:pPr>
      <w:r w:rsidRPr="00684B37">
        <w:rPr>
          <w:rFonts w:ascii="Book Antiqua" w:hAnsi="Book Antiqua"/>
          <w:b/>
        </w:rPr>
        <w:t>___________________________________________</w:t>
      </w:r>
    </w:p>
    <w:p w14:paraId="1E83081A" w14:textId="77777777" w:rsidR="00823EE9" w:rsidRDefault="00823EE9" w:rsidP="00823EE9">
      <w:pPr>
        <w:jc w:val="center"/>
        <w:rPr>
          <w:rFonts w:ascii="Book Antiqua" w:hAnsi="Book Antiqua"/>
          <w:b/>
        </w:rPr>
      </w:pPr>
    </w:p>
    <w:p w14:paraId="23DA97B4" w14:textId="77777777" w:rsidR="00823EE9" w:rsidRPr="00684B37" w:rsidRDefault="00823EE9" w:rsidP="00823EE9">
      <w:pPr>
        <w:jc w:val="center"/>
        <w:rPr>
          <w:rFonts w:ascii="Book Antiqua" w:hAnsi="Book Antiqua"/>
          <w:b/>
        </w:rPr>
      </w:pPr>
      <w:r>
        <w:rPr>
          <w:rFonts w:ascii="Book Antiqua" w:hAnsi="Book Antiqua"/>
          <w:b/>
        </w:rPr>
        <w:t>PILOT DIRECTIONS</w:t>
      </w:r>
    </w:p>
    <w:p w14:paraId="13FA8818" w14:textId="77777777" w:rsidR="00823EE9" w:rsidRPr="00BE28A9" w:rsidRDefault="00823EE9" w:rsidP="00823EE9">
      <w:pPr>
        <w:jc w:val="center"/>
        <w:rPr>
          <w:rFonts w:ascii="Book Antiqua" w:hAnsi="Book Antiqua"/>
        </w:rPr>
      </w:pPr>
      <w:r>
        <w:rPr>
          <w:rFonts w:ascii="Book Antiqua" w:hAnsi="Book Antiqua"/>
        </w:rPr>
        <w:t>___________________________________________</w:t>
      </w:r>
    </w:p>
    <w:p w14:paraId="0D43C0F0" w14:textId="77777777" w:rsidR="00823EE9" w:rsidRPr="00BE28A9" w:rsidRDefault="00823EE9" w:rsidP="00823EE9">
      <w:pPr>
        <w:spacing w:line="360" w:lineRule="auto"/>
        <w:jc w:val="both"/>
        <w:rPr>
          <w:rFonts w:ascii="Book Antiqua" w:hAnsi="Book Antiqua"/>
        </w:rPr>
      </w:pPr>
    </w:p>
    <w:p w14:paraId="7B4D5DD9" w14:textId="77777777" w:rsidR="00823EE9" w:rsidRPr="003322AF" w:rsidRDefault="00823EE9" w:rsidP="00823EE9">
      <w:pPr>
        <w:pStyle w:val="ListParagraph"/>
        <w:numPr>
          <w:ilvl w:val="0"/>
          <w:numId w:val="3"/>
        </w:numPr>
        <w:spacing w:line="360" w:lineRule="auto"/>
        <w:ind w:left="426" w:hanging="426"/>
        <w:contextualSpacing/>
        <w:jc w:val="both"/>
        <w:rPr>
          <w:rFonts w:ascii="Book Antiqua" w:hAnsi="Book Antiqua"/>
          <w:b/>
        </w:rPr>
      </w:pPr>
      <w:r w:rsidRPr="003322AF">
        <w:rPr>
          <w:rFonts w:ascii="Book Antiqua" w:hAnsi="Book Antiqua"/>
          <w:b/>
        </w:rPr>
        <w:t>Introduction</w:t>
      </w:r>
    </w:p>
    <w:p w14:paraId="6216438B" w14:textId="77777777" w:rsidR="00823EE9" w:rsidRDefault="00823EE9" w:rsidP="00823EE9">
      <w:pPr>
        <w:pStyle w:val="ListParagraph"/>
        <w:numPr>
          <w:ilvl w:val="1"/>
          <w:numId w:val="3"/>
        </w:numPr>
        <w:spacing w:line="360" w:lineRule="auto"/>
        <w:contextualSpacing/>
        <w:jc w:val="both"/>
        <w:rPr>
          <w:rFonts w:ascii="Book Antiqua" w:hAnsi="Book Antiqua"/>
        </w:rPr>
      </w:pPr>
      <w:r w:rsidRPr="00620A50">
        <w:rPr>
          <w:rFonts w:ascii="Book Antiqua" w:hAnsi="Book Antiqua"/>
        </w:rPr>
        <w:t xml:space="preserve">These directions are issued to the representatives who have kindly agreed to take part in the </w:t>
      </w:r>
      <w:r>
        <w:rPr>
          <w:rFonts w:ascii="Book Antiqua" w:hAnsi="Book Antiqua"/>
        </w:rPr>
        <w:t>Reform Online</w:t>
      </w:r>
      <w:r w:rsidRPr="00620A50">
        <w:rPr>
          <w:rFonts w:ascii="Book Antiqua" w:hAnsi="Book Antiqua"/>
        </w:rPr>
        <w:t xml:space="preserve"> Pilot</w:t>
      </w:r>
      <w:r>
        <w:rPr>
          <w:rFonts w:ascii="Book Antiqua" w:hAnsi="Book Antiqua"/>
        </w:rPr>
        <w:t>.</w:t>
      </w:r>
    </w:p>
    <w:p w14:paraId="0B2A1320" w14:textId="77777777" w:rsidR="00823EE9" w:rsidRPr="00620A50" w:rsidRDefault="00823EE9" w:rsidP="00823EE9">
      <w:pPr>
        <w:pStyle w:val="ListParagraph"/>
        <w:spacing w:line="360" w:lineRule="auto"/>
        <w:ind w:left="1080"/>
        <w:jc w:val="both"/>
        <w:rPr>
          <w:rFonts w:ascii="Book Antiqua" w:hAnsi="Book Antiqua"/>
        </w:rPr>
      </w:pPr>
    </w:p>
    <w:p w14:paraId="682C6E1E"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The Pilot marks an important step in the reform of the Tribunal pursuant to various recommendations made in the JUSTICE report entitled </w:t>
      </w:r>
      <w:r w:rsidRPr="005176E3">
        <w:rPr>
          <w:rFonts w:ascii="Book Antiqua" w:hAnsi="Book Antiqua"/>
          <w:i/>
        </w:rPr>
        <w:t>Immigration and Asylum Appeals – a Fresh Look</w:t>
      </w:r>
      <w:r>
        <w:rPr>
          <w:rFonts w:ascii="Book Antiqua" w:hAnsi="Book Antiqua"/>
        </w:rPr>
        <w:t>.  The online system has been designed with judicial oversight and is now in its ‘Private Beta’ (testing and evaluation) phase, during which it will be used by the respondent and by the representatives who have agreed to participate in this Pilot.</w:t>
      </w:r>
    </w:p>
    <w:p w14:paraId="0B895748" w14:textId="77777777" w:rsidR="00823EE9" w:rsidRPr="00677903" w:rsidRDefault="00823EE9" w:rsidP="00823EE9">
      <w:pPr>
        <w:spacing w:line="360" w:lineRule="auto"/>
        <w:jc w:val="both"/>
        <w:rPr>
          <w:rFonts w:ascii="Book Antiqua" w:hAnsi="Book Antiqua"/>
        </w:rPr>
      </w:pPr>
    </w:p>
    <w:p w14:paraId="2EE62B97"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The Private Beta phase will play a key role in perfecting the online appeals process and it is imperative that users of the system keep a record of any observations they might have about it, since there will be regional meetings at which all participants will be invited to provide their feedback.  Those meetings will be held at the end of the Pilot, however, and raising concerns about the operation of the system during the Pilot is unlikely to </w:t>
      </w:r>
      <w:proofErr w:type="gramStart"/>
      <w:r>
        <w:rPr>
          <w:rFonts w:ascii="Book Antiqua" w:hAnsi="Book Antiqua"/>
        </w:rPr>
        <w:t>be considered to be</w:t>
      </w:r>
      <w:proofErr w:type="gramEnd"/>
      <w:r>
        <w:rPr>
          <w:rFonts w:ascii="Book Antiqua" w:hAnsi="Book Antiqua"/>
        </w:rPr>
        <w:t xml:space="preserve"> a good reason for failing to comply with the directions which follow.</w:t>
      </w:r>
    </w:p>
    <w:p w14:paraId="4F230FCE" w14:textId="77777777" w:rsidR="00823EE9" w:rsidRPr="00677903" w:rsidRDefault="00823EE9" w:rsidP="00823EE9">
      <w:pPr>
        <w:spacing w:line="360" w:lineRule="auto"/>
        <w:jc w:val="both"/>
        <w:rPr>
          <w:rFonts w:ascii="Book Antiqua" w:hAnsi="Book Antiqua"/>
        </w:rPr>
      </w:pPr>
    </w:p>
    <w:p w14:paraId="0F222469" w14:textId="77777777" w:rsidR="00823EE9" w:rsidRPr="002C4C77"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 xml:space="preserve">Alongside the development of the online system, the Tribunal has developed a new process for appeals.  It is anticipated that this system – which will be facilitated through the online portal – will ultimately yield considerable benefits for appellants and respondents alike, and in turn for the Tribunal and for the public purse.  The intention is that those cases which are bound to succeed on appeal will be identified more quickly than at present, and that </w:t>
      </w:r>
      <w:r>
        <w:rPr>
          <w:rFonts w:ascii="Book Antiqua" w:hAnsi="Book Antiqua"/>
        </w:rPr>
        <w:lastRenderedPageBreak/>
        <w:t xml:space="preserve">the focus of those cases which are ultimately to be contested by the respondent will be narrowed considerably.  It is pursuant to those goals, and in furtherance of the overriding objective, therefore, that the Tribunal issues these directions, which apply only to cases within the Pilot.      </w:t>
      </w:r>
    </w:p>
    <w:p w14:paraId="2BDB8A11" w14:textId="77777777" w:rsidR="00823EE9" w:rsidRDefault="00823EE9" w:rsidP="00823EE9">
      <w:pPr>
        <w:spacing w:line="360" w:lineRule="auto"/>
        <w:ind w:left="426" w:hanging="426"/>
        <w:jc w:val="both"/>
        <w:rPr>
          <w:rFonts w:ascii="Book Antiqua" w:hAnsi="Book Antiqua"/>
        </w:rPr>
      </w:pPr>
    </w:p>
    <w:p w14:paraId="204C7150" w14:textId="77777777" w:rsidR="00823EE9" w:rsidRPr="00D115CC" w:rsidRDefault="00823EE9" w:rsidP="00823EE9">
      <w:pPr>
        <w:pStyle w:val="ListParagraph"/>
        <w:numPr>
          <w:ilvl w:val="1"/>
          <w:numId w:val="3"/>
        </w:numPr>
        <w:spacing w:line="360" w:lineRule="auto"/>
        <w:contextualSpacing/>
        <w:jc w:val="both"/>
        <w:rPr>
          <w:rFonts w:ascii="Book Antiqua" w:hAnsi="Book Antiqua"/>
        </w:rPr>
      </w:pPr>
      <w:r w:rsidRPr="00D115CC">
        <w:rPr>
          <w:rFonts w:ascii="Book Antiqua" w:hAnsi="Book Antiqua"/>
        </w:rPr>
        <w:t xml:space="preserve">The parties are expected to comply with the timetable set out below in all Pilot cases.  Each appeal will be supervised by a Tribunal Case </w:t>
      </w:r>
      <w:r>
        <w:rPr>
          <w:rFonts w:ascii="Book Antiqua" w:hAnsi="Book Antiqua"/>
        </w:rPr>
        <w:t>Worker</w:t>
      </w:r>
      <w:r w:rsidRPr="00D115CC">
        <w:rPr>
          <w:rFonts w:ascii="Book Antiqua" w:hAnsi="Book Antiqua"/>
        </w:rPr>
        <w:t xml:space="preserve"> (“TC</w:t>
      </w:r>
      <w:r>
        <w:rPr>
          <w:rFonts w:ascii="Book Antiqua" w:hAnsi="Book Antiqua"/>
        </w:rPr>
        <w:t>W</w:t>
      </w:r>
      <w:r w:rsidRPr="00D115CC">
        <w:rPr>
          <w:rFonts w:ascii="Book Antiqua" w:hAnsi="Book Antiqua"/>
        </w:rPr>
        <w:t>”), however, and there is liberty to apply to a TC</w:t>
      </w:r>
      <w:r>
        <w:rPr>
          <w:rFonts w:ascii="Book Antiqua" w:hAnsi="Book Antiqua"/>
        </w:rPr>
        <w:t>W</w:t>
      </w:r>
      <w:r w:rsidRPr="00D115CC">
        <w:rPr>
          <w:rFonts w:ascii="Book Antiqua" w:hAnsi="Book Antiqua"/>
        </w:rPr>
        <w:t xml:space="preserve"> or, on review, a judge, in order to seek variation of a stipulated deadline.</w:t>
      </w:r>
    </w:p>
    <w:p w14:paraId="2FA3DA50" w14:textId="77777777" w:rsidR="00823EE9" w:rsidRPr="00D115CC" w:rsidRDefault="00823EE9" w:rsidP="00823EE9">
      <w:pPr>
        <w:pStyle w:val="ListParagraph"/>
        <w:rPr>
          <w:rFonts w:ascii="Book Antiqua" w:hAnsi="Book Antiqua"/>
        </w:rPr>
      </w:pPr>
    </w:p>
    <w:p w14:paraId="3BFAF725" w14:textId="77777777" w:rsidR="00823EE9" w:rsidRDefault="00823EE9" w:rsidP="00823EE9">
      <w:pPr>
        <w:pStyle w:val="ListParagraph"/>
        <w:numPr>
          <w:ilvl w:val="1"/>
          <w:numId w:val="3"/>
        </w:numPr>
        <w:spacing w:line="360" w:lineRule="auto"/>
        <w:contextualSpacing/>
        <w:jc w:val="both"/>
        <w:rPr>
          <w:rFonts w:ascii="Book Antiqua" w:hAnsi="Book Antiqua"/>
        </w:rPr>
      </w:pPr>
      <w:r>
        <w:rPr>
          <w:rFonts w:ascii="Book Antiqua" w:hAnsi="Book Antiqua"/>
        </w:rPr>
        <w:t>The directions set out below are issued by the Resident Judges under the Case Management powers conferred by rule 4 of the Tribunal Procedure Rules (</w:t>
      </w:r>
      <w:proofErr w:type="spellStart"/>
      <w:r>
        <w:rPr>
          <w:rFonts w:ascii="Book Antiqua" w:hAnsi="Book Antiqua"/>
        </w:rPr>
        <w:t>FtT</w:t>
      </w:r>
      <w:proofErr w:type="spellEnd"/>
      <w:r>
        <w:rPr>
          <w:rFonts w:ascii="Book Antiqua" w:hAnsi="Book Antiqua"/>
        </w:rPr>
        <w:t xml:space="preserve">)(IAC) 2014.  These are not Practice Directions issued by the Senior President of Tribunals or the President of the IAC under s23 of the Tribunals, Courts and Enforcement Act 2007.  </w:t>
      </w:r>
    </w:p>
    <w:p w14:paraId="25E8163E" w14:textId="77777777" w:rsidR="00823EE9" w:rsidRDefault="00823EE9" w:rsidP="00823EE9">
      <w:pPr>
        <w:spacing w:line="360" w:lineRule="auto"/>
        <w:jc w:val="both"/>
        <w:rPr>
          <w:rFonts w:ascii="Book Antiqua" w:hAnsi="Book Antiqua"/>
        </w:rPr>
      </w:pPr>
    </w:p>
    <w:p w14:paraId="53AA0D28" w14:textId="77777777" w:rsidR="00823EE9" w:rsidRPr="008879A7" w:rsidRDefault="00823EE9" w:rsidP="00823EE9">
      <w:pPr>
        <w:pStyle w:val="ListParagraph"/>
        <w:numPr>
          <w:ilvl w:val="0"/>
          <w:numId w:val="3"/>
        </w:numPr>
        <w:spacing w:line="360" w:lineRule="auto"/>
        <w:ind w:left="426" w:hanging="426"/>
        <w:contextualSpacing/>
        <w:jc w:val="both"/>
        <w:rPr>
          <w:rFonts w:ascii="Book Antiqua" w:hAnsi="Book Antiqua"/>
        </w:rPr>
      </w:pPr>
      <w:r>
        <w:rPr>
          <w:rFonts w:ascii="Book Antiqua" w:hAnsi="Book Antiqua"/>
          <w:b/>
        </w:rPr>
        <w:t>Provision of Documents</w:t>
      </w:r>
    </w:p>
    <w:p w14:paraId="3DC7A00F" w14:textId="77777777" w:rsidR="00823EE9" w:rsidRDefault="00823EE9" w:rsidP="00823EE9">
      <w:pPr>
        <w:pStyle w:val="ListParagraph"/>
        <w:numPr>
          <w:ilvl w:val="1"/>
          <w:numId w:val="3"/>
        </w:numPr>
        <w:spacing w:line="360" w:lineRule="auto"/>
        <w:contextualSpacing/>
        <w:jc w:val="both"/>
        <w:rPr>
          <w:rFonts w:ascii="Book Antiqua" w:hAnsi="Book Antiqua"/>
        </w:rPr>
      </w:pPr>
      <w:r w:rsidRPr="008879A7">
        <w:rPr>
          <w:rFonts w:ascii="Book Antiqua" w:hAnsi="Book Antiqua"/>
        </w:rPr>
        <w:t>This direction refers throughout to documents being ‘provided’ to the Tribunal.  The use of this term is intentional and reflects the use of the online system.  Documents are not filed with the Tribunal and served upon the other party under this Pilot; a document is provided by uploading it to the online system in a legible form, whereupon email notification is automatically sent to the parties that a new document has become available.  Time starts to run from the point that the document is provided in this way, rather than the time that a document is sent or received.</w:t>
      </w:r>
    </w:p>
    <w:p w14:paraId="2E5421D6" w14:textId="77777777" w:rsidR="00823EE9" w:rsidRPr="009754F7" w:rsidRDefault="00823EE9" w:rsidP="00823EE9">
      <w:pPr>
        <w:spacing w:line="360" w:lineRule="auto"/>
        <w:ind w:left="360"/>
        <w:jc w:val="both"/>
        <w:rPr>
          <w:rFonts w:ascii="Book Antiqua" w:hAnsi="Book Antiqua"/>
          <w:b/>
        </w:rPr>
      </w:pPr>
    </w:p>
    <w:p w14:paraId="6CA2E608" w14:textId="77777777" w:rsidR="00823EE9" w:rsidRPr="009754F7" w:rsidRDefault="00823EE9" w:rsidP="00823EE9">
      <w:pPr>
        <w:pStyle w:val="ListParagraph"/>
        <w:numPr>
          <w:ilvl w:val="0"/>
          <w:numId w:val="3"/>
        </w:numPr>
        <w:spacing w:line="360" w:lineRule="auto"/>
        <w:ind w:left="426" w:hanging="426"/>
        <w:contextualSpacing/>
        <w:jc w:val="both"/>
        <w:rPr>
          <w:rFonts w:ascii="Book Antiqua" w:hAnsi="Book Antiqua"/>
        </w:rPr>
      </w:pPr>
      <w:r w:rsidRPr="009754F7">
        <w:rPr>
          <w:rFonts w:ascii="Book Antiqua" w:hAnsi="Book Antiqua"/>
          <w:b/>
        </w:rPr>
        <w:t>Procedure</w:t>
      </w:r>
    </w:p>
    <w:p w14:paraId="405FB233" w14:textId="77777777" w:rsidR="00823EE9" w:rsidRPr="008879A7"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rPr>
        <w:t>The process which will be followed within the Pilot is set out in the following paragraphs.  A timetable appears at the foot of the document for ease of reference.</w:t>
      </w:r>
    </w:p>
    <w:p w14:paraId="32441A95" w14:textId="77777777" w:rsidR="00823EE9" w:rsidRPr="00A93F51" w:rsidRDefault="00823EE9" w:rsidP="00823EE9">
      <w:pPr>
        <w:pStyle w:val="ListParagraph"/>
        <w:spacing w:line="360" w:lineRule="auto"/>
        <w:ind w:left="1080"/>
        <w:jc w:val="both"/>
        <w:rPr>
          <w:rFonts w:ascii="Book Antiqua" w:hAnsi="Book Antiqua"/>
          <w:b/>
        </w:rPr>
      </w:pPr>
    </w:p>
    <w:p w14:paraId="79BC879D" w14:textId="77777777" w:rsidR="00823EE9" w:rsidRPr="008879A7" w:rsidRDefault="00823EE9" w:rsidP="00823EE9">
      <w:pPr>
        <w:pStyle w:val="ListParagraph"/>
        <w:numPr>
          <w:ilvl w:val="1"/>
          <w:numId w:val="3"/>
        </w:numPr>
        <w:spacing w:line="360" w:lineRule="auto"/>
        <w:contextualSpacing/>
        <w:jc w:val="both"/>
        <w:rPr>
          <w:rFonts w:ascii="Book Antiqua" w:hAnsi="Book Antiqua"/>
          <w:b/>
        </w:rPr>
      </w:pPr>
      <w:r w:rsidRPr="00B72024">
        <w:rPr>
          <w:rFonts w:ascii="Book Antiqua" w:hAnsi="Book Antiqua"/>
        </w:rPr>
        <w:t>Grounds of appeal are not required when a notice of appeal is provided to the Tribunal</w:t>
      </w:r>
      <w:r>
        <w:rPr>
          <w:rFonts w:ascii="Book Antiqua" w:hAnsi="Book Antiqua"/>
        </w:rPr>
        <w:t xml:space="preserve"> online</w:t>
      </w:r>
      <w:r w:rsidRPr="00B72024">
        <w:rPr>
          <w:rFonts w:ascii="Book Antiqua" w:hAnsi="Book Antiqua"/>
        </w:rPr>
        <w:t xml:space="preserve">.  The appellant </w:t>
      </w:r>
      <w:r>
        <w:rPr>
          <w:rFonts w:ascii="Book Antiqua" w:hAnsi="Book Antiqua"/>
        </w:rPr>
        <w:t>provides</w:t>
      </w:r>
      <w:r w:rsidRPr="00B72024">
        <w:rPr>
          <w:rFonts w:ascii="Book Antiqua" w:hAnsi="Book Antiqua"/>
        </w:rPr>
        <w:t xml:space="preserve"> notification of his appeal online, without further </w:t>
      </w:r>
      <w:proofErr w:type="gramStart"/>
      <w:r w:rsidRPr="00B72024">
        <w:rPr>
          <w:rFonts w:ascii="Book Antiqua" w:hAnsi="Book Antiqua"/>
        </w:rPr>
        <w:t>particulars being</w:t>
      </w:r>
      <w:proofErr w:type="gramEnd"/>
      <w:r w:rsidRPr="00B72024">
        <w:rPr>
          <w:rFonts w:ascii="Book Antiqua" w:hAnsi="Book Antiqua"/>
        </w:rPr>
        <w:t xml:space="preserve"> required at that stage.</w:t>
      </w:r>
    </w:p>
    <w:p w14:paraId="50AB88CC" w14:textId="77777777" w:rsidR="00823EE9" w:rsidRPr="008879A7" w:rsidRDefault="00823EE9" w:rsidP="00823EE9">
      <w:pPr>
        <w:pStyle w:val="ListParagraph"/>
        <w:spacing w:line="360" w:lineRule="auto"/>
        <w:ind w:left="1080"/>
        <w:jc w:val="both"/>
        <w:rPr>
          <w:rFonts w:ascii="Book Antiqua" w:hAnsi="Book Antiqua"/>
          <w:b/>
        </w:rPr>
      </w:pPr>
      <w:r w:rsidRPr="00B72024">
        <w:rPr>
          <w:rFonts w:ascii="Book Antiqua" w:hAnsi="Book Antiqua"/>
        </w:rPr>
        <w:t xml:space="preserve"> </w:t>
      </w:r>
    </w:p>
    <w:p w14:paraId="5FABD033" w14:textId="77777777" w:rsidR="00823EE9" w:rsidRPr="00185477"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i/>
        </w:rPr>
        <w:lastRenderedPageBreak/>
        <w:t xml:space="preserve">Respondent’s Bundle.  </w:t>
      </w:r>
      <w:r w:rsidRPr="00D41991">
        <w:rPr>
          <w:rFonts w:ascii="Book Antiqua" w:hAnsi="Book Antiqua"/>
        </w:rPr>
        <w:t>Not later than 14 days after the Tribunal is provided with the notice of appeal, the respondent must provide a bundle which complies with rule 24(1)</w:t>
      </w:r>
      <w:r>
        <w:rPr>
          <w:rFonts w:ascii="Book Antiqua" w:hAnsi="Book Antiqua"/>
        </w:rPr>
        <w:t xml:space="preserve"> of the Procedure Rules</w:t>
      </w:r>
      <w:r w:rsidRPr="00D41991">
        <w:rPr>
          <w:rFonts w:ascii="Book Antiqua" w:hAnsi="Book Antiqua"/>
        </w:rPr>
        <w:t xml:space="preserve">.  The respondent </w:t>
      </w:r>
      <w:r w:rsidRPr="00185477">
        <w:rPr>
          <w:rFonts w:ascii="Book Antiqua" w:hAnsi="Book Antiqua"/>
          <w:u w:val="single"/>
        </w:rPr>
        <w:t>must</w:t>
      </w:r>
      <w:r w:rsidRPr="00D41991">
        <w:rPr>
          <w:rFonts w:ascii="Book Antiqua" w:hAnsi="Book Antiqua"/>
        </w:rPr>
        <w:t xml:space="preserve"> </w:t>
      </w:r>
      <w:r>
        <w:rPr>
          <w:rFonts w:ascii="Book Antiqua" w:hAnsi="Book Antiqua"/>
        </w:rPr>
        <w:t>also</w:t>
      </w:r>
      <w:r w:rsidRPr="00D41991">
        <w:rPr>
          <w:rFonts w:ascii="Book Antiqua" w:hAnsi="Book Antiqua"/>
        </w:rPr>
        <w:t xml:space="preserve"> include within that bundle, amongst other documents, </w:t>
      </w:r>
      <w:r w:rsidRPr="00E73793">
        <w:rPr>
          <w:rFonts w:ascii="Book Antiqua" w:hAnsi="Book Antiqua"/>
          <w:u w:val="single"/>
        </w:rPr>
        <w:t>any</w:t>
      </w:r>
      <w:r w:rsidRPr="00D41991">
        <w:rPr>
          <w:rFonts w:ascii="Book Antiqua" w:hAnsi="Book Antiqua"/>
        </w:rPr>
        <w:t xml:space="preserve"> evidence which was submitted by the appellant in support of the application</w:t>
      </w:r>
      <w:r>
        <w:rPr>
          <w:rFonts w:ascii="Book Antiqua" w:hAnsi="Book Antiqua"/>
        </w:rPr>
        <w:t xml:space="preserve"> which led to the decision under appeal</w:t>
      </w:r>
      <w:r w:rsidRPr="00D41991">
        <w:rPr>
          <w:rFonts w:ascii="Book Antiqua" w:hAnsi="Book Antiqua"/>
        </w:rPr>
        <w:t>.</w:t>
      </w:r>
    </w:p>
    <w:p w14:paraId="5D5F296A" w14:textId="77777777" w:rsidR="00823EE9" w:rsidRPr="00185477" w:rsidRDefault="00823EE9" w:rsidP="00823EE9">
      <w:pPr>
        <w:pStyle w:val="ListParagraph"/>
        <w:rPr>
          <w:rFonts w:ascii="Book Antiqua" w:hAnsi="Book Antiqua"/>
        </w:rPr>
      </w:pPr>
    </w:p>
    <w:p w14:paraId="26C4AF23" w14:textId="77777777" w:rsidR="00823EE9" w:rsidRPr="00712F11"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i/>
        </w:rPr>
        <w:t xml:space="preserve">Appellant’s Skeleton Argument.  </w:t>
      </w:r>
      <w:r w:rsidRPr="00185477">
        <w:rPr>
          <w:rFonts w:ascii="Book Antiqua" w:hAnsi="Book Antiqua"/>
        </w:rPr>
        <w:t xml:space="preserve">After the respondent has provided his bundle of documents, the appellant must provide an Appeal Skeleton Argument (“ASA”).  In a protection appeal, the ASA must be provided not later than 28 days after the respondent’s bundle is provided, or 42 days after the notice of appeal, whichever is the later.  The intention is that an appellant in a protection claim will always have at least six weeks from lodging their appeal.  </w:t>
      </w:r>
      <w:r>
        <w:rPr>
          <w:rFonts w:ascii="Book Antiqua" w:hAnsi="Book Antiqua"/>
        </w:rPr>
        <w:t xml:space="preserve"> </w:t>
      </w:r>
      <w:r w:rsidRPr="00185477">
        <w:rPr>
          <w:rFonts w:ascii="Book Antiqua" w:hAnsi="Book Antiqua"/>
        </w:rPr>
        <w:t xml:space="preserve"> </w:t>
      </w:r>
    </w:p>
    <w:p w14:paraId="627F8D35" w14:textId="77777777" w:rsidR="00823EE9" w:rsidRPr="00712F11" w:rsidRDefault="00823EE9" w:rsidP="00823EE9">
      <w:pPr>
        <w:pStyle w:val="ListParagraph"/>
        <w:rPr>
          <w:rFonts w:ascii="Book Antiqua" w:hAnsi="Book Antiqua"/>
        </w:rPr>
      </w:pPr>
    </w:p>
    <w:p w14:paraId="52590CA2" w14:textId="77777777" w:rsidR="00823EE9" w:rsidRPr="00461DBE" w:rsidRDefault="00823EE9" w:rsidP="00823EE9">
      <w:pPr>
        <w:pStyle w:val="ListParagraph"/>
        <w:numPr>
          <w:ilvl w:val="1"/>
          <w:numId w:val="3"/>
        </w:numPr>
        <w:spacing w:line="360" w:lineRule="auto"/>
        <w:contextualSpacing/>
        <w:jc w:val="both"/>
        <w:rPr>
          <w:rFonts w:ascii="Book Antiqua" w:hAnsi="Book Antiqua"/>
          <w:b/>
        </w:rPr>
      </w:pPr>
      <w:r w:rsidRPr="00712F11">
        <w:rPr>
          <w:rFonts w:ascii="Book Antiqua" w:hAnsi="Book Antiqua"/>
        </w:rPr>
        <w:t xml:space="preserve">Any advocate who prepares a skeleton argument should have regard to what was said by Jackson LJ (with whom Lewison and Treacy LJJ agreed) at [52]-[57] of </w:t>
      </w:r>
      <w:proofErr w:type="spellStart"/>
      <w:r w:rsidRPr="00712F11">
        <w:rPr>
          <w:rFonts w:ascii="Book Antiqua" w:hAnsi="Book Antiqua"/>
          <w:u w:val="single"/>
        </w:rPr>
        <w:t>Inplayer</w:t>
      </w:r>
      <w:proofErr w:type="spellEnd"/>
      <w:r w:rsidRPr="00712F11">
        <w:rPr>
          <w:rFonts w:ascii="Book Antiqua" w:hAnsi="Book Antiqua"/>
          <w:u w:val="single"/>
        </w:rPr>
        <w:t xml:space="preserve"> v Thorogood [2014] EWCA </w:t>
      </w:r>
      <w:proofErr w:type="spellStart"/>
      <w:r w:rsidRPr="00712F11">
        <w:rPr>
          <w:rFonts w:ascii="Book Antiqua" w:hAnsi="Book Antiqua"/>
          <w:u w:val="single"/>
        </w:rPr>
        <w:t>Civ</w:t>
      </w:r>
      <w:proofErr w:type="spellEnd"/>
      <w:r w:rsidRPr="00712F11">
        <w:rPr>
          <w:rFonts w:ascii="Book Antiqua" w:hAnsi="Book Antiqua"/>
          <w:u w:val="single"/>
        </w:rPr>
        <w:t xml:space="preserve"> 1511</w:t>
      </w:r>
      <w:r w:rsidRPr="00712F11">
        <w:rPr>
          <w:rFonts w:ascii="Book Antiqua" w:hAnsi="Book Antiqua"/>
        </w:rPr>
        <w:t xml:space="preserve">.  The Practice Directions to CPR Part 52 do not apply directly to appeals to the </w:t>
      </w:r>
      <w:proofErr w:type="spellStart"/>
      <w:proofErr w:type="gramStart"/>
      <w:r w:rsidRPr="00712F11">
        <w:rPr>
          <w:rFonts w:ascii="Book Antiqua" w:hAnsi="Book Antiqua"/>
        </w:rPr>
        <w:t>FtT</w:t>
      </w:r>
      <w:proofErr w:type="spellEnd"/>
      <w:r w:rsidRPr="00712F11">
        <w:rPr>
          <w:rFonts w:ascii="Book Antiqua" w:hAnsi="Book Antiqua"/>
        </w:rPr>
        <w:t>(</w:t>
      </w:r>
      <w:proofErr w:type="gramEnd"/>
      <w:r w:rsidRPr="00712F11">
        <w:rPr>
          <w:rFonts w:ascii="Book Antiqua" w:hAnsi="Book Antiqua"/>
        </w:rPr>
        <w:t xml:space="preserve">IAC), however, and ASAs in this </w:t>
      </w:r>
      <w:r>
        <w:rPr>
          <w:rFonts w:ascii="Book Antiqua" w:hAnsi="Book Antiqua"/>
        </w:rPr>
        <w:t>Chamber</w:t>
      </w:r>
      <w:r w:rsidRPr="00712F11">
        <w:rPr>
          <w:rFonts w:ascii="Book Antiqua" w:hAnsi="Book Antiqua"/>
        </w:rPr>
        <w:t xml:space="preserve"> must comply with the following.</w:t>
      </w:r>
    </w:p>
    <w:p w14:paraId="3D468FA6" w14:textId="77777777" w:rsidR="00823EE9" w:rsidRPr="00461DBE" w:rsidRDefault="00823EE9" w:rsidP="00823EE9">
      <w:pPr>
        <w:pStyle w:val="ListParagraph"/>
        <w:rPr>
          <w:rFonts w:ascii="Book Antiqua" w:hAnsi="Book Antiqua"/>
        </w:rPr>
      </w:pPr>
    </w:p>
    <w:p w14:paraId="5701A341" w14:textId="77777777" w:rsidR="00823EE9" w:rsidRPr="00710E30" w:rsidRDefault="00823EE9" w:rsidP="00823EE9">
      <w:pPr>
        <w:pStyle w:val="ListParagraph"/>
        <w:numPr>
          <w:ilvl w:val="1"/>
          <w:numId w:val="3"/>
        </w:numPr>
        <w:spacing w:line="360" w:lineRule="auto"/>
        <w:contextualSpacing/>
        <w:jc w:val="both"/>
        <w:rPr>
          <w:rFonts w:ascii="Book Antiqua" w:hAnsi="Book Antiqua"/>
          <w:b/>
        </w:rPr>
      </w:pPr>
      <w:r w:rsidRPr="00461DBE">
        <w:rPr>
          <w:rFonts w:ascii="Book Antiqua" w:hAnsi="Book Antiqua"/>
        </w:rPr>
        <w:t xml:space="preserve">The purpose of an ASA is to set out as concisely as practicable the arguments upon which an appellant intends to rely.  An ASA </w:t>
      </w:r>
      <w:r>
        <w:rPr>
          <w:rFonts w:ascii="Book Antiqua" w:hAnsi="Book Antiqua"/>
        </w:rPr>
        <w:t xml:space="preserve">must contain three sections: a summary of the appellant’s case; a schedule of issues; and the appellant’s submissions on those issues.  A template is available on the portal.  </w:t>
      </w:r>
    </w:p>
    <w:p w14:paraId="74E0C72E" w14:textId="77777777" w:rsidR="00823EE9" w:rsidRPr="00710E30" w:rsidRDefault="00823EE9" w:rsidP="00823EE9">
      <w:pPr>
        <w:pStyle w:val="ListParagraph"/>
        <w:rPr>
          <w:rFonts w:ascii="Book Antiqua" w:hAnsi="Book Antiqua"/>
        </w:rPr>
      </w:pPr>
    </w:p>
    <w:p w14:paraId="6E46365B" w14:textId="77777777" w:rsidR="00823EE9" w:rsidRPr="00461DBE" w:rsidRDefault="00823EE9" w:rsidP="00823EE9">
      <w:pPr>
        <w:pStyle w:val="ListParagraph"/>
        <w:numPr>
          <w:ilvl w:val="1"/>
          <w:numId w:val="3"/>
        </w:numPr>
        <w:spacing w:line="360" w:lineRule="auto"/>
        <w:contextualSpacing/>
        <w:jc w:val="both"/>
        <w:rPr>
          <w:rFonts w:ascii="Book Antiqua" w:hAnsi="Book Antiqua"/>
          <w:b/>
        </w:rPr>
      </w:pPr>
      <w:r>
        <w:rPr>
          <w:rFonts w:ascii="Book Antiqua" w:hAnsi="Book Antiqua"/>
        </w:rPr>
        <w:t>An ASA must</w:t>
      </w:r>
      <w:r w:rsidRPr="00461DBE">
        <w:rPr>
          <w:rFonts w:ascii="Book Antiqua" w:hAnsi="Book Antiqua"/>
        </w:rPr>
        <w:t>:</w:t>
      </w:r>
    </w:p>
    <w:p w14:paraId="16A02AA3"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 xml:space="preserve">be </w:t>
      </w:r>
      <w:proofErr w:type="gramStart"/>
      <w:r w:rsidRPr="00865C5B">
        <w:rPr>
          <w:rFonts w:ascii="Book Antiqua" w:hAnsi="Book Antiqua" w:cs="Arial"/>
          <w:lang w:val="en"/>
        </w:rPr>
        <w:t>concise;</w:t>
      </w:r>
      <w:proofErr w:type="gramEnd"/>
      <w:r w:rsidRPr="002F264B">
        <w:rPr>
          <w:rFonts w:ascii="Book Antiqua" w:hAnsi="Book Antiqua" w:cs="Arial"/>
          <w:lang w:val="en"/>
        </w:rPr>
        <w:t xml:space="preserve"> </w:t>
      </w:r>
    </w:p>
    <w:p w14:paraId="19906025"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 xml:space="preserve">be set out in numbered </w:t>
      </w:r>
      <w:proofErr w:type="gramStart"/>
      <w:r w:rsidRPr="00865C5B">
        <w:rPr>
          <w:rFonts w:ascii="Book Antiqua" w:hAnsi="Book Antiqua" w:cs="Arial"/>
          <w:lang w:val="en"/>
        </w:rPr>
        <w:t>paragraphs;</w:t>
      </w:r>
      <w:proofErr w:type="gramEnd"/>
      <w:r w:rsidRPr="002F264B">
        <w:rPr>
          <w:rFonts w:ascii="Book Antiqua" w:hAnsi="Book Antiqua" w:cs="Arial"/>
          <w:lang w:val="en"/>
        </w:rPr>
        <w:t xml:space="preserve"> </w:t>
      </w:r>
    </w:p>
    <w:p w14:paraId="52C5365E"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 xml:space="preserve">not include extensive quotations from documents or </w:t>
      </w:r>
      <w:proofErr w:type="gramStart"/>
      <w:r w:rsidRPr="00865C5B">
        <w:rPr>
          <w:rFonts w:ascii="Book Antiqua" w:hAnsi="Book Antiqua" w:cs="Arial"/>
          <w:lang w:val="en"/>
        </w:rPr>
        <w:t>authorities</w:t>
      </w:r>
      <w:r>
        <w:rPr>
          <w:rFonts w:ascii="Book Antiqua" w:hAnsi="Book Antiqua" w:cs="Arial"/>
          <w:lang w:val="en"/>
        </w:rPr>
        <w:t>;</w:t>
      </w:r>
      <w:proofErr w:type="gramEnd"/>
    </w:p>
    <w:p w14:paraId="72C3A690"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Pr>
          <w:rFonts w:ascii="Book Antiqua" w:hAnsi="Book Antiqua" w:cs="Arial"/>
          <w:lang w:val="en"/>
        </w:rPr>
        <w:t xml:space="preserve">engage expressly with the decision under </w:t>
      </w:r>
      <w:proofErr w:type="gramStart"/>
      <w:r>
        <w:rPr>
          <w:rFonts w:ascii="Book Antiqua" w:hAnsi="Book Antiqua" w:cs="Arial"/>
          <w:lang w:val="en"/>
        </w:rPr>
        <w:t>challenge;</w:t>
      </w:r>
      <w:proofErr w:type="gramEnd"/>
    </w:p>
    <w:p w14:paraId="56D9CA29"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865C5B">
        <w:rPr>
          <w:rFonts w:ascii="Book Antiqua" w:hAnsi="Book Antiqua" w:cs="Arial"/>
          <w:lang w:val="en"/>
        </w:rPr>
        <w:t xml:space="preserve">be cross-referenced to any relevant document in the </w:t>
      </w:r>
      <w:r>
        <w:rPr>
          <w:rFonts w:ascii="Book Antiqua" w:hAnsi="Book Antiqua" w:cs="Arial"/>
          <w:lang w:val="en"/>
        </w:rPr>
        <w:t xml:space="preserve">appellant’s </w:t>
      </w:r>
      <w:r w:rsidRPr="00865C5B">
        <w:rPr>
          <w:rFonts w:ascii="Book Antiqua" w:hAnsi="Book Antiqua" w:cs="Arial"/>
          <w:lang w:val="en"/>
        </w:rPr>
        <w:t>bundle</w:t>
      </w:r>
      <w:r>
        <w:rPr>
          <w:rFonts w:ascii="Book Antiqua" w:hAnsi="Book Antiqua" w:cs="Arial"/>
          <w:lang w:val="en"/>
        </w:rPr>
        <w:t xml:space="preserve"> [AB/x] or the respondent’s bundle [RB/x]</w:t>
      </w:r>
    </w:p>
    <w:p w14:paraId="7C2D7DCD" w14:textId="77777777" w:rsidR="00823EE9"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Pr>
          <w:rFonts w:ascii="Book Antiqua" w:hAnsi="Book Antiqua" w:cs="Arial"/>
          <w:lang w:val="en"/>
        </w:rPr>
        <w:t>n</w:t>
      </w:r>
      <w:r w:rsidRPr="001B0BBF">
        <w:rPr>
          <w:rFonts w:ascii="Book Antiqua" w:hAnsi="Book Antiqua" w:cs="Arial"/>
          <w:lang w:val="en"/>
        </w:rPr>
        <w:t>ot exceed 10 pages and should certainly be no longer than 20 pages of A4.</w:t>
      </w:r>
    </w:p>
    <w:p w14:paraId="78402BCA" w14:textId="77777777" w:rsidR="00823EE9" w:rsidRPr="003049EC" w:rsidRDefault="00823EE9" w:rsidP="00823EE9">
      <w:pPr>
        <w:numPr>
          <w:ilvl w:val="0"/>
          <w:numId w:val="4"/>
        </w:numPr>
        <w:tabs>
          <w:tab w:val="clear" w:pos="720"/>
          <w:tab w:val="num" w:pos="1560"/>
        </w:tabs>
        <w:spacing w:line="360" w:lineRule="auto"/>
        <w:ind w:left="1560" w:hanging="426"/>
        <w:jc w:val="both"/>
        <w:rPr>
          <w:rFonts w:ascii="Book Antiqua" w:hAnsi="Book Antiqua" w:cs="Arial"/>
          <w:lang w:val="en"/>
        </w:rPr>
      </w:pPr>
      <w:r w:rsidRPr="003049EC">
        <w:rPr>
          <w:rFonts w:ascii="Book Antiqua" w:hAnsi="Book Antiqua" w:cs="Arial"/>
          <w:lang w:val="en"/>
        </w:rPr>
        <w:t>be in no less than 12-point type with line spacing of not less than 1.5.</w:t>
      </w:r>
    </w:p>
    <w:p w14:paraId="50DCCA36" w14:textId="77777777" w:rsidR="00823EE9" w:rsidRPr="00865C5B" w:rsidRDefault="00823EE9" w:rsidP="00823EE9">
      <w:pPr>
        <w:spacing w:line="360" w:lineRule="auto"/>
        <w:jc w:val="both"/>
        <w:rPr>
          <w:rFonts w:ascii="Book Antiqua" w:hAnsi="Book Antiqua" w:cs="Arial"/>
          <w:lang w:val="en"/>
        </w:rPr>
      </w:pPr>
    </w:p>
    <w:p w14:paraId="41464DC3" w14:textId="77777777" w:rsidR="00823EE9"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sidRPr="00CE1BED">
        <w:rPr>
          <w:rFonts w:ascii="Book Antiqua" w:hAnsi="Book Antiqua" w:cs="Arial"/>
          <w:i/>
          <w:lang w:val="en"/>
        </w:rPr>
        <w:t>Summary of the Appellant’s Case</w:t>
      </w:r>
      <w:r>
        <w:rPr>
          <w:rFonts w:ascii="Book Antiqua" w:hAnsi="Book Antiqua" w:cs="Arial"/>
          <w:i/>
          <w:lang w:val="en"/>
        </w:rPr>
        <w:t xml:space="preserve">.  </w:t>
      </w:r>
      <w:r>
        <w:rPr>
          <w:rFonts w:ascii="Book Antiqua" w:hAnsi="Book Antiqua" w:cs="Arial"/>
          <w:lang w:val="en"/>
        </w:rPr>
        <w:t>All ASAs must contain a concise summary of the appellant’s case at the start.  The purpose of this summary is to distill the facts upon which the appellant relies and which, in the appellant’s submission, justify the relief sought.  This summary should not advance any argument, nor should it contain reference to the law.</w:t>
      </w:r>
    </w:p>
    <w:p w14:paraId="41220B01" w14:textId="77777777" w:rsidR="00823EE9" w:rsidRDefault="00823EE9" w:rsidP="00823EE9">
      <w:pPr>
        <w:pStyle w:val="ListParagraph"/>
        <w:spacing w:line="360" w:lineRule="auto"/>
        <w:ind w:left="1843" w:hanging="763"/>
        <w:jc w:val="both"/>
        <w:rPr>
          <w:rFonts w:ascii="Book Antiqua" w:hAnsi="Book Antiqua" w:cs="Arial"/>
          <w:lang w:val="en"/>
        </w:rPr>
      </w:pPr>
    </w:p>
    <w:p w14:paraId="520D050C" w14:textId="77777777" w:rsidR="00823EE9"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sidRPr="00CF3F4F">
        <w:rPr>
          <w:rFonts w:ascii="Book Antiqua" w:hAnsi="Book Antiqua" w:cs="Arial"/>
          <w:i/>
          <w:lang w:val="en"/>
        </w:rPr>
        <w:t>Schedule of Issues.</w:t>
      </w:r>
      <w:r>
        <w:rPr>
          <w:rFonts w:ascii="Book Antiqua" w:hAnsi="Book Antiqua" w:cs="Arial"/>
          <w:lang w:val="en"/>
        </w:rPr>
        <w:t xml:space="preserve">  </w:t>
      </w:r>
      <w:r w:rsidRPr="00D63A21">
        <w:rPr>
          <w:rFonts w:ascii="Book Antiqua" w:hAnsi="Book Antiqua" w:cs="Arial"/>
          <w:lang w:val="en"/>
        </w:rPr>
        <w:t xml:space="preserve">In all cases, the ASA must </w:t>
      </w:r>
      <w:r>
        <w:rPr>
          <w:rFonts w:ascii="Book Antiqua" w:hAnsi="Book Antiqua" w:cs="Arial"/>
          <w:lang w:val="en"/>
        </w:rPr>
        <w:t>contain</w:t>
      </w:r>
      <w:r w:rsidRPr="00D63A21">
        <w:rPr>
          <w:rFonts w:ascii="Book Antiqua" w:hAnsi="Book Antiqua" w:cs="Arial"/>
          <w:lang w:val="en"/>
        </w:rPr>
        <w:t xml:space="preserve"> a schedule of issues</w:t>
      </w:r>
      <w:r>
        <w:rPr>
          <w:rFonts w:ascii="Book Antiqua" w:hAnsi="Book Antiqua" w:cs="Arial"/>
          <w:lang w:val="en"/>
        </w:rPr>
        <w:t xml:space="preserve">, </w:t>
      </w:r>
      <w:r w:rsidRPr="00D63A21">
        <w:rPr>
          <w:rFonts w:ascii="Book Antiqua" w:hAnsi="Book Antiqua" w:cs="Arial"/>
          <w:lang w:val="en"/>
        </w:rPr>
        <w:t xml:space="preserve">the resolution of which are said by the appellant to be determinative of the appeal in his </w:t>
      </w:r>
      <w:proofErr w:type="spellStart"/>
      <w:r w:rsidRPr="00D63A21">
        <w:rPr>
          <w:rFonts w:ascii="Book Antiqua" w:hAnsi="Book Antiqua" w:cs="Arial"/>
          <w:lang w:val="en"/>
        </w:rPr>
        <w:t>favour</w:t>
      </w:r>
      <w:proofErr w:type="spellEnd"/>
      <w:r w:rsidRPr="00D63A21">
        <w:rPr>
          <w:rFonts w:ascii="Book Antiqua" w:hAnsi="Book Antiqua" w:cs="Arial"/>
          <w:lang w:val="en"/>
        </w:rPr>
        <w:t xml:space="preserve">.  </w:t>
      </w:r>
    </w:p>
    <w:p w14:paraId="58877579" w14:textId="77777777" w:rsidR="00823EE9" w:rsidRDefault="00823EE9" w:rsidP="00823EE9">
      <w:pPr>
        <w:pStyle w:val="ListParagraph"/>
        <w:spacing w:line="360" w:lineRule="auto"/>
        <w:ind w:left="1843" w:hanging="763"/>
        <w:jc w:val="both"/>
        <w:rPr>
          <w:rFonts w:ascii="Book Antiqua" w:hAnsi="Book Antiqua" w:cs="Arial"/>
          <w:lang w:val="en"/>
        </w:rPr>
      </w:pPr>
    </w:p>
    <w:p w14:paraId="5FB2942C" w14:textId="77777777" w:rsidR="00823EE9" w:rsidRPr="004D41F4" w:rsidRDefault="00823EE9" w:rsidP="00823EE9">
      <w:pPr>
        <w:pStyle w:val="ListParagraph"/>
        <w:numPr>
          <w:ilvl w:val="2"/>
          <w:numId w:val="6"/>
        </w:numPr>
        <w:spacing w:line="360" w:lineRule="auto"/>
        <w:ind w:left="1843" w:hanging="763"/>
        <w:contextualSpacing/>
        <w:jc w:val="both"/>
        <w:rPr>
          <w:rFonts w:ascii="Book Antiqua" w:hAnsi="Book Antiqua" w:cs="Arial"/>
          <w:lang w:val="en"/>
        </w:rPr>
      </w:pPr>
      <w:r>
        <w:rPr>
          <w:rFonts w:ascii="Book Antiqua" w:hAnsi="Book Antiqua" w:cs="Arial"/>
          <w:lang w:val="en"/>
        </w:rPr>
        <w:t>T</w:t>
      </w:r>
      <w:r w:rsidRPr="004D41F4">
        <w:rPr>
          <w:rFonts w:ascii="Book Antiqua" w:hAnsi="Book Antiqua" w:cs="Arial"/>
          <w:lang w:val="en"/>
        </w:rPr>
        <w:t>he issues must be identified concisely in a sequence of numbered points, for example as follows:</w:t>
      </w:r>
    </w:p>
    <w:p w14:paraId="60EB476E" w14:textId="77777777" w:rsidR="00823EE9" w:rsidRDefault="00823EE9" w:rsidP="00823EE9">
      <w:pPr>
        <w:spacing w:line="360" w:lineRule="auto"/>
        <w:jc w:val="both"/>
        <w:rPr>
          <w:rFonts w:ascii="Book Antiqua" w:hAnsi="Book Antiqua" w:cs="Arial"/>
          <w:lang w:val="en"/>
        </w:rPr>
      </w:pPr>
    </w:p>
    <w:p w14:paraId="3D2032EF" w14:textId="77777777" w:rsidR="00823EE9" w:rsidRPr="004F3EAB" w:rsidRDefault="00823EE9" w:rsidP="00823EE9">
      <w:pPr>
        <w:spacing w:line="360" w:lineRule="auto"/>
        <w:ind w:left="1843" w:right="567"/>
        <w:jc w:val="both"/>
        <w:rPr>
          <w:rFonts w:ascii="Book Antiqua" w:hAnsi="Book Antiqua" w:cs="Arial"/>
          <w:i/>
          <w:lang w:val="en"/>
        </w:rPr>
      </w:pPr>
      <w:r w:rsidRPr="004F3EAB">
        <w:rPr>
          <w:rFonts w:ascii="Book Antiqua" w:hAnsi="Book Antiqua" w:cs="Arial"/>
          <w:i/>
          <w:lang w:val="en"/>
        </w:rPr>
        <w:t>The appellant appeal</w:t>
      </w:r>
      <w:r>
        <w:rPr>
          <w:rFonts w:ascii="Book Antiqua" w:hAnsi="Book Antiqua" w:cs="Arial"/>
          <w:i/>
          <w:lang w:val="en"/>
        </w:rPr>
        <w:t>s</w:t>
      </w:r>
      <w:r w:rsidRPr="004F3EAB">
        <w:rPr>
          <w:rFonts w:ascii="Book Antiqua" w:hAnsi="Book Antiqua" w:cs="Arial"/>
          <w:i/>
          <w:lang w:val="en"/>
        </w:rPr>
        <w:t xml:space="preserve"> against the respondent’s decision to refuse her human rights claim for entry clearance as the spouse of a settled person.  Having regard to the requirements of Appendix FM of the Immigration Rules and the reasons given by the respondent for refusing the application, it is submitted that the issues which arise are as follows, and that resolution of these issues in the appellant’s </w:t>
      </w:r>
      <w:proofErr w:type="spellStart"/>
      <w:r w:rsidRPr="004F3EAB">
        <w:rPr>
          <w:rFonts w:ascii="Book Antiqua" w:hAnsi="Book Antiqua" w:cs="Arial"/>
          <w:i/>
          <w:lang w:val="en"/>
        </w:rPr>
        <w:t>favour</w:t>
      </w:r>
      <w:proofErr w:type="spellEnd"/>
      <w:r w:rsidRPr="004F3EAB">
        <w:rPr>
          <w:rFonts w:ascii="Book Antiqua" w:hAnsi="Book Antiqua" w:cs="Arial"/>
          <w:i/>
          <w:lang w:val="en"/>
        </w:rPr>
        <w:t xml:space="preserve"> should result in a decision to allow the appeal on Article 8 ECHR</w:t>
      </w:r>
      <w:r>
        <w:rPr>
          <w:rFonts w:ascii="Book Antiqua" w:hAnsi="Book Antiqua" w:cs="Arial"/>
          <w:i/>
          <w:lang w:val="en"/>
        </w:rPr>
        <w:t xml:space="preserve">  </w:t>
      </w:r>
      <w:r w:rsidRPr="004F3EAB">
        <w:rPr>
          <w:rFonts w:ascii="Book Antiqua" w:hAnsi="Book Antiqua" w:cs="Arial"/>
          <w:i/>
          <w:lang w:val="en"/>
        </w:rPr>
        <w:t xml:space="preserve"> grounds:</w:t>
      </w:r>
    </w:p>
    <w:p w14:paraId="174ECADA" w14:textId="77777777" w:rsidR="00823EE9" w:rsidRPr="004F3EAB" w:rsidRDefault="00823EE9" w:rsidP="00823EE9">
      <w:pPr>
        <w:spacing w:line="360" w:lineRule="auto"/>
        <w:ind w:left="1843" w:right="567" w:hanging="142"/>
        <w:jc w:val="both"/>
        <w:rPr>
          <w:rFonts w:ascii="Book Antiqua" w:hAnsi="Book Antiqua" w:cs="Arial"/>
          <w:i/>
          <w:lang w:val="en"/>
        </w:rPr>
      </w:pPr>
    </w:p>
    <w:p w14:paraId="44C8C05F"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Are the appellant and the sponsor validly married?</w:t>
      </w:r>
    </w:p>
    <w:p w14:paraId="6488D8AC"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Is their marriage genuine and subsisting?</w:t>
      </w:r>
    </w:p>
    <w:p w14:paraId="70ED285B" w14:textId="77777777" w:rsidR="00823EE9" w:rsidRPr="004F3EAB"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Does the sponsor earn in excess of the Minimum Income Requirement?</w:t>
      </w:r>
    </w:p>
    <w:p w14:paraId="55321E26" w14:textId="77777777" w:rsidR="00823EE9" w:rsidRDefault="00823EE9" w:rsidP="00823EE9">
      <w:pPr>
        <w:pStyle w:val="ListParagraph"/>
        <w:numPr>
          <w:ilvl w:val="0"/>
          <w:numId w:val="5"/>
        </w:numPr>
        <w:spacing w:line="360" w:lineRule="auto"/>
        <w:ind w:left="2127" w:right="567" w:hanging="284"/>
        <w:contextualSpacing/>
        <w:jc w:val="both"/>
        <w:rPr>
          <w:rFonts w:ascii="Book Antiqua" w:hAnsi="Book Antiqua" w:cs="Arial"/>
          <w:i/>
          <w:lang w:val="en"/>
        </w:rPr>
      </w:pPr>
      <w:r w:rsidRPr="004F3EAB">
        <w:rPr>
          <w:rFonts w:ascii="Book Antiqua" w:hAnsi="Book Antiqua" w:cs="Arial"/>
          <w:i/>
          <w:lang w:val="en"/>
        </w:rPr>
        <w:t>If not, are there compelling circumstances which render the appellant’s exclusion unlawful under section 6 HRA 1998?</w:t>
      </w:r>
    </w:p>
    <w:p w14:paraId="7EBB71A4" w14:textId="77777777" w:rsidR="00823EE9" w:rsidRDefault="00823EE9" w:rsidP="00823EE9">
      <w:pPr>
        <w:pStyle w:val="ListParagraph"/>
        <w:spacing w:line="360" w:lineRule="auto"/>
        <w:ind w:left="2153" w:hanging="1073"/>
        <w:jc w:val="both"/>
        <w:rPr>
          <w:rFonts w:ascii="Book Antiqua" w:hAnsi="Book Antiqua" w:cs="Arial"/>
          <w:lang w:val="en"/>
        </w:rPr>
      </w:pPr>
    </w:p>
    <w:p w14:paraId="7803989C" w14:textId="77777777" w:rsidR="00823EE9" w:rsidRDefault="00823EE9" w:rsidP="00823EE9">
      <w:pPr>
        <w:pStyle w:val="ListParagraph"/>
        <w:numPr>
          <w:ilvl w:val="2"/>
          <w:numId w:val="6"/>
        </w:numPr>
        <w:spacing w:line="360" w:lineRule="auto"/>
        <w:contextualSpacing/>
        <w:jc w:val="both"/>
        <w:rPr>
          <w:rFonts w:ascii="Book Antiqua" w:hAnsi="Book Antiqua" w:cs="Arial"/>
          <w:lang w:val="en"/>
        </w:rPr>
      </w:pPr>
      <w:r w:rsidRPr="00510A50">
        <w:rPr>
          <w:rFonts w:ascii="Book Antiqua" w:hAnsi="Book Antiqua" w:cs="Arial"/>
          <w:i/>
          <w:lang w:val="en"/>
        </w:rPr>
        <w:t>Submissions.</w:t>
      </w:r>
      <w:r>
        <w:rPr>
          <w:rFonts w:ascii="Book Antiqua" w:hAnsi="Book Antiqua" w:cs="Arial"/>
          <w:lang w:val="en"/>
        </w:rPr>
        <w:t xml:space="preserve">  Having set out a summary of the appellant’s factual case and the schedule of issues, the ASA must set out the appellant’s submissions on the issues.  Those submissions must comply with the guidance in 3.5-3.7 above and representatives must note</w:t>
      </w:r>
      <w:proofErr w:type="gramStart"/>
      <w:r>
        <w:rPr>
          <w:rFonts w:ascii="Book Antiqua" w:hAnsi="Book Antiqua" w:cs="Arial"/>
          <w:lang w:val="en"/>
        </w:rPr>
        <w:t xml:space="preserve">, in particular, </w:t>
      </w:r>
      <w:r>
        <w:rPr>
          <w:rFonts w:ascii="Book Antiqua" w:hAnsi="Book Antiqua" w:cs="Arial"/>
          <w:lang w:val="en"/>
        </w:rPr>
        <w:lastRenderedPageBreak/>
        <w:t>that</w:t>
      </w:r>
      <w:proofErr w:type="gramEnd"/>
      <w:r>
        <w:rPr>
          <w:rFonts w:ascii="Book Antiqua" w:hAnsi="Book Antiqua" w:cs="Arial"/>
          <w:lang w:val="en"/>
        </w:rPr>
        <w:t xml:space="preserve"> i</w:t>
      </w:r>
      <w:r w:rsidRPr="00A22CAE">
        <w:rPr>
          <w:rFonts w:ascii="Book Antiqua" w:hAnsi="Book Antiqua" w:cs="Arial"/>
          <w:lang w:val="en"/>
        </w:rPr>
        <w:t xml:space="preserve">t is imperative that the ASA engages expressly with each of the grounds upon which the appellant’s application was refused.  </w:t>
      </w:r>
    </w:p>
    <w:p w14:paraId="3D029893" w14:textId="77777777" w:rsidR="00823EE9" w:rsidRDefault="00823EE9" w:rsidP="00823EE9">
      <w:pPr>
        <w:pStyle w:val="ListParagraph"/>
        <w:spacing w:line="360" w:lineRule="auto"/>
        <w:ind w:left="1800"/>
        <w:jc w:val="both"/>
        <w:rPr>
          <w:rFonts w:ascii="Book Antiqua" w:hAnsi="Book Antiqua" w:cs="Arial"/>
          <w:lang w:val="en"/>
        </w:rPr>
      </w:pPr>
    </w:p>
    <w:p w14:paraId="27A41BA4" w14:textId="77777777" w:rsidR="00823EE9" w:rsidRPr="00A22CAE" w:rsidRDefault="00823EE9" w:rsidP="00823EE9">
      <w:pPr>
        <w:pStyle w:val="ListParagraph"/>
        <w:numPr>
          <w:ilvl w:val="2"/>
          <w:numId w:val="6"/>
        </w:numPr>
        <w:spacing w:line="360" w:lineRule="auto"/>
        <w:contextualSpacing/>
        <w:jc w:val="both"/>
        <w:rPr>
          <w:rFonts w:ascii="Book Antiqua" w:hAnsi="Book Antiqua" w:cs="Arial"/>
          <w:lang w:val="en"/>
        </w:rPr>
      </w:pPr>
      <w:r w:rsidRPr="00A22CAE">
        <w:rPr>
          <w:rFonts w:ascii="Book Antiqua" w:hAnsi="Book Antiqua" w:cs="Arial"/>
          <w:lang w:val="en"/>
        </w:rPr>
        <w:t xml:space="preserve">In an appeal against the refusal of a protection claim, for example, the ASA must engage with questions of credibility, sufficiency of protection and internal relocation where such issues have been raised by the respondent.  In an appeal against the refusal of a human rights claim, for example, the ASA should identify the articles of the ECHR relied upon, the manner in which any qualified articles are engaged and the reasons why any decision taken under the Immigration Rules is said to be wrong.  It is not possible to provide a more prescriptive </w:t>
      </w:r>
      <w:proofErr w:type="gramStart"/>
      <w:r w:rsidRPr="00A22CAE">
        <w:rPr>
          <w:rFonts w:ascii="Book Antiqua" w:hAnsi="Book Antiqua" w:cs="Arial"/>
          <w:lang w:val="en"/>
        </w:rPr>
        <w:t>template</w:t>
      </w:r>
      <w:proofErr w:type="gramEnd"/>
      <w:r w:rsidRPr="00A22CAE">
        <w:rPr>
          <w:rFonts w:ascii="Book Antiqua" w:hAnsi="Book Antiqua" w:cs="Arial"/>
          <w:lang w:val="en"/>
        </w:rPr>
        <w:t xml:space="preserve"> but the</w:t>
      </w:r>
      <w:r>
        <w:rPr>
          <w:rFonts w:ascii="Book Antiqua" w:hAnsi="Book Antiqua" w:cs="Arial"/>
          <w:lang w:val="en"/>
        </w:rPr>
        <w:t xml:space="preserve"> submissions</w:t>
      </w:r>
      <w:r w:rsidRPr="00A22CAE">
        <w:rPr>
          <w:rFonts w:ascii="Book Antiqua" w:hAnsi="Book Antiqua" w:cs="Arial"/>
          <w:lang w:val="en"/>
        </w:rPr>
        <w:t xml:space="preserve"> must, in summary, provide a reasoned response to each of the grounds of refusal.</w:t>
      </w:r>
    </w:p>
    <w:p w14:paraId="5DC52D0E" w14:textId="77777777" w:rsidR="00823EE9" w:rsidRPr="001B0BBF" w:rsidRDefault="00823EE9" w:rsidP="00823EE9">
      <w:pPr>
        <w:rPr>
          <w:rFonts w:ascii="Book Antiqua" w:hAnsi="Book Antiqua" w:cs="Arial"/>
          <w:lang w:val="en"/>
        </w:rPr>
      </w:pPr>
    </w:p>
    <w:p w14:paraId="705E610D"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CF3F4F">
        <w:rPr>
          <w:rFonts w:ascii="Book Antiqua" w:hAnsi="Book Antiqua" w:cs="Arial"/>
          <w:i/>
          <w:lang w:val="en"/>
        </w:rPr>
        <w:t>Appellant’s Bundle.</w:t>
      </w:r>
      <w:r>
        <w:rPr>
          <w:rFonts w:ascii="Book Antiqua" w:hAnsi="Book Antiqua" w:cs="Arial"/>
          <w:lang w:val="en"/>
        </w:rPr>
        <w:t xml:space="preserve">  </w:t>
      </w:r>
      <w:r w:rsidRPr="00157CCA">
        <w:rPr>
          <w:rFonts w:ascii="Book Antiqua" w:hAnsi="Book Antiqua" w:cs="Arial"/>
          <w:lang w:val="en"/>
        </w:rPr>
        <w:t xml:space="preserve">Where the ASA refers to </w:t>
      </w:r>
      <w:proofErr w:type="gramStart"/>
      <w:r w:rsidRPr="00157CCA">
        <w:rPr>
          <w:rFonts w:ascii="Book Antiqua" w:hAnsi="Book Antiqua" w:cs="Arial"/>
          <w:lang w:val="en"/>
        </w:rPr>
        <w:t>material</w:t>
      </w:r>
      <w:proofErr w:type="gramEnd"/>
      <w:r w:rsidRPr="00157CCA">
        <w:rPr>
          <w:rFonts w:ascii="Book Antiqua" w:hAnsi="Book Antiqua" w:cs="Arial"/>
          <w:lang w:val="en"/>
        </w:rPr>
        <w:t xml:space="preserve"> which is not included in the respondent’s bundle, that additional evidence must be provided to the Tribunal in an indexed and paginated bundle at the same time as the ASA.  There is no need to duplicate material which is already to be found within the respondent’s bundle and bundles which contain substantial duplication are likely to be </w:t>
      </w:r>
      <w:r>
        <w:rPr>
          <w:rFonts w:ascii="Book Antiqua" w:hAnsi="Book Antiqua" w:cs="Arial"/>
          <w:lang w:val="en"/>
        </w:rPr>
        <w:t>rejected by a TCW.</w:t>
      </w:r>
    </w:p>
    <w:p w14:paraId="6FBE304C" w14:textId="77777777" w:rsidR="00823EE9" w:rsidRPr="00D63A21" w:rsidRDefault="00823EE9" w:rsidP="00823EE9">
      <w:pPr>
        <w:pStyle w:val="ListParagraph"/>
        <w:rPr>
          <w:rFonts w:ascii="Book Antiqua" w:hAnsi="Book Antiqua" w:cs="Arial"/>
          <w:lang w:val="en"/>
        </w:rPr>
      </w:pPr>
    </w:p>
    <w:p w14:paraId="6E4FC81F"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B36509">
        <w:rPr>
          <w:rFonts w:ascii="Book Antiqua" w:hAnsi="Book Antiqua" w:cs="Arial"/>
          <w:i/>
          <w:lang w:val="en"/>
        </w:rPr>
        <w:t>Respondent’s Review.</w:t>
      </w:r>
      <w:r>
        <w:rPr>
          <w:rFonts w:ascii="Book Antiqua" w:hAnsi="Book Antiqua" w:cs="Arial"/>
          <w:lang w:val="en"/>
        </w:rPr>
        <w:t xml:space="preserve">  In all cases, the respondent is required to undertake a comprehensive review of the appellant’s case, </w:t>
      </w:r>
      <w:proofErr w:type="gramStart"/>
      <w:r>
        <w:rPr>
          <w:rFonts w:ascii="Book Antiqua" w:hAnsi="Book Antiqua" w:cs="Arial"/>
          <w:lang w:val="en"/>
        </w:rPr>
        <w:t>taking into account</w:t>
      </w:r>
      <w:proofErr w:type="gramEnd"/>
      <w:r>
        <w:rPr>
          <w:rFonts w:ascii="Book Antiqua" w:hAnsi="Book Antiqua" w:cs="Arial"/>
          <w:lang w:val="en"/>
        </w:rPr>
        <w:t xml:space="preserve"> the ASA and any bundle of documents supplied by the appellant.  The respondent must also </w:t>
      </w:r>
      <w:proofErr w:type="spellStart"/>
      <w:r>
        <w:rPr>
          <w:rFonts w:ascii="Book Antiqua" w:hAnsi="Book Antiqua" w:cs="Arial"/>
          <w:lang w:val="en"/>
        </w:rPr>
        <w:t>particularise</w:t>
      </w:r>
      <w:proofErr w:type="spellEnd"/>
      <w:r>
        <w:rPr>
          <w:rFonts w:ascii="Book Antiqua" w:hAnsi="Book Antiqua" w:cs="Arial"/>
          <w:lang w:val="en"/>
        </w:rPr>
        <w:t xml:space="preserve"> any additional grounds of refusal.  The respondent must provide the Tribunal with the result of that review by way of a response, within fourteen days of the ASA being provided to the Tribunal.</w:t>
      </w:r>
    </w:p>
    <w:p w14:paraId="05BD387D" w14:textId="77777777" w:rsidR="00823EE9" w:rsidRDefault="00823EE9" w:rsidP="00823EE9">
      <w:pPr>
        <w:spacing w:line="360" w:lineRule="auto"/>
        <w:ind w:left="426" w:hanging="426"/>
        <w:jc w:val="both"/>
        <w:rPr>
          <w:rFonts w:ascii="Book Antiqua" w:hAnsi="Book Antiqua" w:cs="Arial"/>
          <w:lang w:val="en"/>
        </w:rPr>
      </w:pPr>
    </w:p>
    <w:p w14:paraId="472CC430"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Pr>
          <w:rFonts w:ascii="Book Antiqua" w:hAnsi="Book Antiqua" w:cs="Arial"/>
          <w:lang w:val="en"/>
        </w:rPr>
        <w:t xml:space="preserve">Pro-forma or </w:t>
      </w:r>
      <w:proofErr w:type="spellStart"/>
      <w:r>
        <w:rPr>
          <w:rFonts w:ascii="Book Antiqua" w:hAnsi="Book Antiqua" w:cs="Arial"/>
          <w:lang w:val="en"/>
        </w:rPr>
        <w:t>standardised</w:t>
      </w:r>
      <w:proofErr w:type="spellEnd"/>
      <w:r>
        <w:rPr>
          <w:rFonts w:ascii="Book Antiqua" w:hAnsi="Book Antiqua" w:cs="Arial"/>
          <w:lang w:val="en"/>
        </w:rPr>
        <w:t xml:space="preserve"> response templates will not be accepted by the Tribunal.  The Review must engage expressly with the submissions made and the evidence provided to the Tribunal.  The respondent will also note that appeals will not be considered for listing unless and until this important stage has been fully and properly completed.</w:t>
      </w:r>
    </w:p>
    <w:p w14:paraId="1B6F48CC" w14:textId="77777777" w:rsidR="00823EE9" w:rsidRDefault="00823EE9" w:rsidP="00823EE9">
      <w:pPr>
        <w:spacing w:line="360" w:lineRule="auto"/>
        <w:jc w:val="both"/>
        <w:rPr>
          <w:rFonts w:ascii="Book Antiqua" w:hAnsi="Book Antiqua" w:cs="Arial"/>
          <w:lang w:val="en"/>
        </w:rPr>
      </w:pPr>
    </w:p>
    <w:p w14:paraId="1748680B" w14:textId="77777777" w:rsidR="00823EE9" w:rsidRDefault="00823EE9" w:rsidP="00823EE9">
      <w:pPr>
        <w:pStyle w:val="ListParagraph"/>
        <w:numPr>
          <w:ilvl w:val="1"/>
          <w:numId w:val="6"/>
        </w:numPr>
        <w:spacing w:line="360" w:lineRule="auto"/>
        <w:contextualSpacing/>
        <w:jc w:val="both"/>
        <w:rPr>
          <w:rFonts w:ascii="Book Antiqua" w:hAnsi="Book Antiqua" w:cs="Arial"/>
          <w:lang w:val="en"/>
        </w:rPr>
      </w:pPr>
      <w:r w:rsidRPr="007F0938">
        <w:rPr>
          <w:rFonts w:ascii="Book Antiqua" w:hAnsi="Book Antiqua" w:cs="Arial"/>
          <w:i/>
          <w:lang w:val="en"/>
        </w:rPr>
        <w:t>Counter schedule</w:t>
      </w:r>
      <w:r>
        <w:rPr>
          <w:rFonts w:ascii="Book Antiqua" w:hAnsi="Book Antiqua" w:cs="Arial"/>
          <w:lang w:val="en"/>
        </w:rPr>
        <w:t xml:space="preserve">.  The respondent must, at the same time as the review, respond to the appellant’s schedule of issues.  If the appeal is to be contested, </w:t>
      </w:r>
      <w:r>
        <w:rPr>
          <w:rFonts w:ascii="Book Antiqua" w:hAnsi="Book Antiqua" w:cs="Arial"/>
          <w:lang w:val="en"/>
        </w:rPr>
        <w:lastRenderedPageBreak/>
        <w:t>the respondent must indicate which issues are conceded and which remain in issue.  Where further grounds are to be raised, they must be clearly identified in the respondent’s counter schedule.  A counter schedule in response to the example at 3.11 may be as follows:</w:t>
      </w:r>
    </w:p>
    <w:p w14:paraId="4FCC2EBC" w14:textId="77777777" w:rsidR="00823EE9" w:rsidRPr="007F0938" w:rsidRDefault="00823EE9" w:rsidP="00823EE9">
      <w:pPr>
        <w:pStyle w:val="ListParagraph"/>
        <w:rPr>
          <w:rFonts w:ascii="Book Antiqua" w:hAnsi="Book Antiqua" w:cs="Arial"/>
          <w:lang w:val="en"/>
        </w:rPr>
      </w:pPr>
    </w:p>
    <w:p w14:paraId="6729B9BC"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validity of the marriage is </w:t>
      </w:r>
      <w:r w:rsidRPr="00153E38">
        <w:rPr>
          <w:rFonts w:ascii="Book Antiqua" w:hAnsi="Book Antiqua" w:cs="Arial"/>
          <w:i/>
          <w:u w:val="single"/>
          <w:lang w:val="en"/>
        </w:rPr>
        <w:t>conceded</w:t>
      </w:r>
      <w:r w:rsidRPr="00153E38">
        <w:rPr>
          <w:rFonts w:ascii="Book Antiqua" w:hAnsi="Book Antiqua" w:cs="Arial"/>
          <w:i/>
          <w:lang w:val="en"/>
        </w:rPr>
        <w:t xml:space="preserve"> </w:t>
      </w:r>
      <w:proofErr w:type="gramStart"/>
      <w:r w:rsidRPr="00153E38">
        <w:rPr>
          <w:rFonts w:ascii="Book Antiqua" w:hAnsi="Book Antiqua" w:cs="Arial"/>
          <w:i/>
          <w:lang w:val="en"/>
        </w:rPr>
        <w:t>in light of</w:t>
      </w:r>
      <w:proofErr w:type="gramEnd"/>
      <w:r w:rsidRPr="00153E38">
        <w:rPr>
          <w:rFonts w:ascii="Book Antiqua" w:hAnsi="Book Antiqua" w:cs="Arial"/>
          <w:i/>
          <w:lang w:val="en"/>
        </w:rPr>
        <w:t xml:space="preserve"> the further letter from the Registrar at p45 of the appellant’s bundle.</w:t>
      </w:r>
    </w:p>
    <w:p w14:paraId="46C76086"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genuineness and subsistence of the marriage is </w:t>
      </w:r>
      <w:r w:rsidRPr="00153E38">
        <w:rPr>
          <w:rFonts w:ascii="Book Antiqua" w:hAnsi="Book Antiqua" w:cs="Arial"/>
          <w:i/>
          <w:u w:val="single"/>
          <w:lang w:val="en"/>
        </w:rPr>
        <w:t>conceded</w:t>
      </w:r>
      <w:r w:rsidRPr="00153E38">
        <w:rPr>
          <w:rFonts w:ascii="Book Antiqua" w:hAnsi="Book Antiqua" w:cs="Arial"/>
          <w:i/>
          <w:lang w:val="en"/>
        </w:rPr>
        <w:t xml:space="preserve"> </w:t>
      </w:r>
      <w:proofErr w:type="gramStart"/>
      <w:r w:rsidRPr="00153E38">
        <w:rPr>
          <w:rFonts w:ascii="Book Antiqua" w:hAnsi="Book Antiqua" w:cs="Arial"/>
          <w:i/>
          <w:lang w:val="en"/>
        </w:rPr>
        <w:t>in light of</w:t>
      </w:r>
      <w:proofErr w:type="gramEnd"/>
      <w:r w:rsidRPr="00153E38">
        <w:rPr>
          <w:rFonts w:ascii="Book Antiqua" w:hAnsi="Book Antiqua" w:cs="Arial"/>
          <w:i/>
          <w:lang w:val="en"/>
        </w:rPr>
        <w:t xml:space="preserve"> the additional evidence at pp23-79 of the appellant’s bundle.</w:t>
      </w:r>
    </w:p>
    <w:p w14:paraId="69CEDEDA"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ground of refusal in relation to the Minimum Income Requirement is </w:t>
      </w:r>
      <w:r w:rsidRPr="00153E38">
        <w:rPr>
          <w:rFonts w:ascii="Book Antiqua" w:hAnsi="Book Antiqua" w:cs="Arial"/>
          <w:i/>
          <w:u w:val="single"/>
          <w:lang w:val="en"/>
        </w:rPr>
        <w:t>maintained</w:t>
      </w:r>
      <w:r w:rsidRPr="00153E38">
        <w:rPr>
          <w:rFonts w:ascii="Book Antiqua" w:hAnsi="Book Antiqua" w:cs="Arial"/>
          <w:i/>
          <w:lang w:val="en"/>
        </w:rPr>
        <w:t xml:space="preserve"> as the appellant has still not produced the evidence required by Appendix FM-SE.</w:t>
      </w:r>
    </w:p>
    <w:p w14:paraId="404839CC"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lang w:val="en"/>
        </w:rPr>
        <w:t xml:space="preserve">The respondent </w:t>
      </w:r>
      <w:r w:rsidRPr="00153E38">
        <w:rPr>
          <w:rFonts w:ascii="Book Antiqua" w:hAnsi="Book Antiqua" w:cs="Arial"/>
          <w:i/>
          <w:u w:val="single"/>
          <w:lang w:val="en"/>
        </w:rPr>
        <w:t>maintains</w:t>
      </w:r>
      <w:r w:rsidRPr="00153E38">
        <w:rPr>
          <w:rFonts w:ascii="Book Antiqua" w:hAnsi="Book Antiqua" w:cs="Arial"/>
          <w:i/>
          <w:lang w:val="en"/>
        </w:rPr>
        <w:t xml:space="preserve"> that there are no compelling circumstances which warrant a grant of entry clearance outside the Immigration Rules.  </w:t>
      </w:r>
    </w:p>
    <w:p w14:paraId="2DDE1077" w14:textId="77777777" w:rsidR="00823EE9" w:rsidRPr="00153E38" w:rsidRDefault="00823EE9" w:rsidP="00823EE9">
      <w:pPr>
        <w:pStyle w:val="ListParagraph"/>
        <w:numPr>
          <w:ilvl w:val="1"/>
          <w:numId w:val="4"/>
        </w:numPr>
        <w:spacing w:line="360" w:lineRule="auto"/>
        <w:contextualSpacing/>
        <w:jc w:val="both"/>
        <w:rPr>
          <w:rFonts w:ascii="Book Antiqua" w:hAnsi="Book Antiqua" w:cs="Arial"/>
          <w:i/>
          <w:lang w:val="en"/>
        </w:rPr>
      </w:pPr>
      <w:r w:rsidRPr="00153E38">
        <w:rPr>
          <w:rFonts w:ascii="Book Antiqua" w:hAnsi="Book Antiqua" w:cs="Arial"/>
          <w:i/>
          <w:u w:val="single"/>
          <w:lang w:val="en"/>
        </w:rPr>
        <w:t>In addition</w:t>
      </w:r>
      <w:r w:rsidRPr="00153E38">
        <w:rPr>
          <w:rFonts w:ascii="Book Antiqua" w:hAnsi="Book Antiqua" w:cs="Arial"/>
          <w:i/>
          <w:lang w:val="en"/>
        </w:rPr>
        <w:t xml:space="preserve">, and for the reasons given </w:t>
      </w:r>
      <w:r>
        <w:rPr>
          <w:rFonts w:ascii="Book Antiqua" w:hAnsi="Book Antiqua" w:cs="Arial"/>
          <w:i/>
          <w:lang w:val="en"/>
        </w:rPr>
        <w:t>at [3]-[4] of</w:t>
      </w:r>
      <w:r w:rsidRPr="00153E38">
        <w:rPr>
          <w:rFonts w:ascii="Book Antiqua" w:hAnsi="Book Antiqua" w:cs="Arial"/>
          <w:i/>
          <w:lang w:val="en"/>
        </w:rPr>
        <w:t xml:space="preserve"> the Review, the respondent submits that the appellant falls for refusal on Suitability grounds due to his conviction.</w:t>
      </w:r>
    </w:p>
    <w:p w14:paraId="3B2A7867" w14:textId="77777777" w:rsidR="00823EE9" w:rsidRPr="00AF6D84" w:rsidRDefault="00823EE9" w:rsidP="00823EE9">
      <w:pPr>
        <w:pStyle w:val="ListParagraph"/>
        <w:spacing w:line="360" w:lineRule="auto"/>
        <w:ind w:left="1080"/>
        <w:jc w:val="both"/>
        <w:rPr>
          <w:rFonts w:ascii="Book Antiqua" w:hAnsi="Book Antiqua"/>
          <w:b/>
        </w:rPr>
      </w:pPr>
    </w:p>
    <w:p w14:paraId="6759D2B8" w14:textId="77777777" w:rsidR="00823EE9" w:rsidRPr="00382F12" w:rsidRDefault="00823EE9" w:rsidP="00823EE9">
      <w:pPr>
        <w:pStyle w:val="ListParagraph"/>
        <w:numPr>
          <w:ilvl w:val="1"/>
          <w:numId w:val="6"/>
        </w:numPr>
        <w:spacing w:line="360" w:lineRule="auto"/>
        <w:contextualSpacing/>
        <w:jc w:val="both"/>
        <w:rPr>
          <w:rFonts w:ascii="Book Antiqua" w:hAnsi="Book Antiqua"/>
          <w:b/>
        </w:rPr>
      </w:pPr>
      <w:r w:rsidRPr="0013246B">
        <w:rPr>
          <w:rFonts w:ascii="Book Antiqua" w:hAnsi="Book Antiqua"/>
        </w:rPr>
        <w:t>ASAs</w:t>
      </w:r>
      <w:r>
        <w:rPr>
          <w:rFonts w:ascii="Book Antiqua" w:hAnsi="Book Antiqua"/>
        </w:rPr>
        <w:t xml:space="preserve"> </w:t>
      </w:r>
      <w:r w:rsidRPr="0013246B">
        <w:rPr>
          <w:rFonts w:ascii="Book Antiqua" w:hAnsi="Book Antiqua"/>
        </w:rPr>
        <w:t xml:space="preserve">and responses which do not comply with this Practice Direction will </w:t>
      </w:r>
      <w:r>
        <w:rPr>
          <w:rFonts w:ascii="Book Antiqua" w:hAnsi="Book Antiqua"/>
        </w:rPr>
        <w:t>not be accepted</w:t>
      </w:r>
      <w:r w:rsidRPr="0013246B">
        <w:rPr>
          <w:rFonts w:ascii="Book Antiqua" w:hAnsi="Book Antiqua"/>
        </w:rPr>
        <w:t xml:space="preserve"> by the Tribunal and a compliant replacement will be required.  </w:t>
      </w:r>
    </w:p>
    <w:p w14:paraId="7BF5CBBC" w14:textId="77777777" w:rsidR="00823EE9" w:rsidRDefault="00823EE9" w:rsidP="00823EE9">
      <w:pPr>
        <w:spacing w:line="360" w:lineRule="auto"/>
        <w:ind w:left="426"/>
        <w:jc w:val="both"/>
        <w:rPr>
          <w:rFonts w:ascii="Book Antiqua" w:hAnsi="Book Antiqua"/>
        </w:rPr>
      </w:pPr>
    </w:p>
    <w:p w14:paraId="1F95E4E8" w14:textId="77777777" w:rsidR="00823EE9" w:rsidRDefault="00823EE9" w:rsidP="00823EE9">
      <w:pPr>
        <w:pStyle w:val="ListParagraph"/>
        <w:numPr>
          <w:ilvl w:val="1"/>
          <w:numId w:val="6"/>
        </w:numPr>
        <w:spacing w:line="360" w:lineRule="auto"/>
        <w:contextualSpacing/>
        <w:jc w:val="both"/>
        <w:rPr>
          <w:rFonts w:ascii="Book Antiqua" w:hAnsi="Book Antiqua"/>
        </w:rPr>
      </w:pPr>
      <w:r w:rsidRPr="00422F09">
        <w:rPr>
          <w:rFonts w:ascii="Book Antiqua" w:hAnsi="Book Antiqua"/>
        </w:rPr>
        <w:t xml:space="preserve">Upon </w:t>
      </w:r>
      <w:r w:rsidRPr="003B13FC">
        <w:rPr>
          <w:rFonts w:ascii="Book Antiqua" w:hAnsi="Book Antiqua" w:cs="Arial"/>
          <w:lang w:val="en"/>
        </w:rPr>
        <w:t>completion</w:t>
      </w:r>
      <w:r w:rsidRPr="00422F09">
        <w:rPr>
          <w:rFonts w:ascii="Book Antiqua" w:hAnsi="Book Antiqua"/>
        </w:rPr>
        <w:t xml:space="preserve"> of the steps above, the appeal will be actively case managed by a TC</w:t>
      </w:r>
      <w:r>
        <w:rPr>
          <w:rFonts w:ascii="Book Antiqua" w:hAnsi="Book Antiqua"/>
        </w:rPr>
        <w:t>W</w:t>
      </w:r>
      <w:r w:rsidRPr="00422F09">
        <w:rPr>
          <w:rFonts w:ascii="Book Antiqua" w:hAnsi="Book Antiqua"/>
        </w:rPr>
        <w:t xml:space="preserve"> and/or by a judge.</w:t>
      </w:r>
    </w:p>
    <w:p w14:paraId="547B6AA0" w14:textId="77777777" w:rsidR="00823EE9" w:rsidRDefault="00823EE9" w:rsidP="00823EE9">
      <w:pPr>
        <w:pStyle w:val="ListParagraph"/>
        <w:spacing w:line="360" w:lineRule="auto"/>
        <w:ind w:left="426"/>
        <w:jc w:val="both"/>
        <w:rPr>
          <w:rFonts w:ascii="Book Antiqua" w:hAnsi="Book Antiqua"/>
        </w:rPr>
      </w:pPr>
    </w:p>
    <w:p w14:paraId="1DB66DDE" w14:textId="77777777" w:rsidR="00823EE9" w:rsidRPr="00B0321A" w:rsidRDefault="00823EE9" w:rsidP="00823EE9">
      <w:pPr>
        <w:pStyle w:val="ListParagraph"/>
        <w:numPr>
          <w:ilvl w:val="1"/>
          <w:numId w:val="6"/>
        </w:numPr>
        <w:spacing w:line="360" w:lineRule="auto"/>
        <w:contextualSpacing/>
        <w:jc w:val="both"/>
        <w:rPr>
          <w:rFonts w:ascii="Book Antiqua" w:hAnsi="Book Antiqua"/>
        </w:rPr>
      </w:pPr>
      <w:r w:rsidRPr="00382F12">
        <w:rPr>
          <w:rFonts w:ascii="Book Antiqua" w:hAnsi="Book Antiqua" w:cs="Arial"/>
          <w:lang w:val="en"/>
        </w:rPr>
        <w:t>For the avoidance of doubt, any timescale or requirement set out above may be varied by a TC</w:t>
      </w:r>
      <w:r>
        <w:rPr>
          <w:rFonts w:ascii="Book Antiqua" w:hAnsi="Book Antiqua" w:cs="Arial"/>
          <w:lang w:val="en"/>
        </w:rPr>
        <w:t>W</w:t>
      </w:r>
      <w:r w:rsidRPr="00382F12">
        <w:rPr>
          <w:rFonts w:ascii="Book Antiqua" w:hAnsi="Book Antiqua" w:cs="Arial"/>
          <w:lang w:val="en"/>
        </w:rPr>
        <w:t xml:space="preserve"> or a judge but the parties must, in the absence of any such variation, assume that the procedure set out above will be followed.</w:t>
      </w:r>
    </w:p>
    <w:p w14:paraId="7AA1AD25" w14:textId="77777777" w:rsidR="00823EE9" w:rsidRPr="00B0321A" w:rsidRDefault="00823EE9" w:rsidP="00823EE9">
      <w:pPr>
        <w:spacing w:line="360" w:lineRule="auto"/>
        <w:jc w:val="both"/>
        <w:rPr>
          <w:rFonts w:ascii="Book Antiqua" w:hAnsi="Book Antiqua"/>
        </w:rPr>
      </w:pPr>
      <w:r w:rsidRPr="00B0321A">
        <w:rPr>
          <w:rFonts w:ascii="Book Antiqua" w:hAnsi="Book Antiqua" w:cs="Arial"/>
          <w:lang w:val="en"/>
        </w:rPr>
        <w:t xml:space="preserve"> </w:t>
      </w:r>
    </w:p>
    <w:p w14:paraId="277C59EE" w14:textId="77777777" w:rsidR="00823EE9" w:rsidRPr="008E48CB" w:rsidRDefault="00823EE9" w:rsidP="00823EE9">
      <w:pPr>
        <w:pStyle w:val="ListParagraph"/>
        <w:numPr>
          <w:ilvl w:val="0"/>
          <w:numId w:val="6"/>
        </w:numPr>
        <w:spacing w:line="360" w:lineRule="auto"/>
        <w:ind w:left="426" w:hanging="426"/>
        <w:contextualSpacing/>
        <w:jc w:val="both"/>
        <w:rPr>
          <w:rFonts w:ascii="Book Antiqua" w:hAnsi="Book Antiqua"/>
          <w:b/>
        </w:rPr>
      </w:pPr>
      <w:r w:rsidRPr="008E48CB">
        <w:rPr>
          <w:rFonts w:ascii="Book Antiqua" w:hAnsi="Book Antiqua"/>
          <w:b/>
        </w:rPr>
        <w:t>Timetable</w:t>
      </w:r>
    </w:p>
    <w:p w14:paraId="6892D21B" w14:textId="77777777" w:rsidR="00823EE9" w:rsidRPr="003322AF" w:rsidRDefault="00823EE9" w:rsidP="00823EE9">
      <w:pPr>
        <w:pStyle w:val="ListParagraph"/>
        <w:numPr>
          <w:ilvl w:val="1"/>
          <w:numId w:val="6"/>
        </w:numPr>
        <w:spacing w:line="360" w:lineRule="auto"/>
        <w:contextualSpacing/>
        <w:jc w:val="both"/>
        <w:rPr>
          <w:rFonts w:ascii="Book Antiqua" w:hAnsi="Book Antiqua"/>
        </w:rPr>
      </w:pPr>
      <w:r w:rsidRPr="003322AF">
        <w:rPr>
          <w:rFonts w:ascii="Book Antiqua" w:hAnsi="Book Antiqua"/>
        </w:rPr>
        <w:t xml:space="preserve">Subject to </w:t>
      </w:r>
      <w:r w:rsidRPr="003B13FC">
        <w:rPr>
          <w:rFonts w:ascii="Book Antiqua" w:hAnsi="Book Antiqua" w:cs="Arial"/>
          <w:lang w:val="en"/>
        </w:rPr>
        <w:t>directions</w:t>
      </w:r>
      <w:r w:rsidRPr="003322AF">
        <w:rPr>
          <w:rFonts w:ascii="Book Antiqua" w:hAnsi="Book Antiqua"/>
        </w:rPr>
        <w:t xml:space="preserve"> given by a judge or a TC</w:t>
      </w:r>
      <w:r>
        <w:rPr>
          <w:rFonts w:ascii="Book Antiqua" w:hAnsi="Book Antiqua"/>
        </w:rPr>
        <w:t>W</w:t>
      </w:r>
      <w:r w:rsidRPr="003322AF">
        <w:rPr>
          <w:rFonts w:ascii="Book Antiqua" w:hAnsi="Book Antiqua"/>
        </w:rPr>
        <w:t>, the parties will be expected to adhere to the following timetable:</w:t>
      </w:r>
    </w:p>
    <w:p w14:paraId="63933D0F" w14:textId="63E1AF2D" w:rsidR="00823EE9" w:rsidRDefault="00823EE9">
      <w:pPr>
        <w:rPr>
          <w:rFonts w:ascii="Book Antiqua" w:hAnsi="Book Antiqua"/>
        </w:rPr>
      </w:pPr>
      <w:r>
        <w:rPr>
          <w:rFonts w:ascii="Book Antiqua" w:hAnsi="Book Antiqua"/>
        </w:rPr>
        <w:br w:type="page"/>
      </w:r>
    </w:p>
    <w:p w14:paraId="640A33A7" w14:textId="77777777" w:rsidR="00823EE9" w:rsidRDefault="00823EE9" w:rsidP="00823EE9">
      <w:pPr>
        <w:spacing w:line="360" w:lineRule="auto"/>
        <w:ind w:left="426"/>
        <w:jc w:val="both"/>
        <w:rPr>
          <w:rFonts w:ascii="Book Antiqua" w:hAnsi="Book Antiqua"/>
        </w:rPr>
      </w:pPr>
    </w:p>
    <w:tbl>
      <w:tblPr>
        <w:tblStyle w:val="TableGrid"/>
        <w:tblW w:w="8641" w:type="dxa"/>
        <w:tblInd w:w="426" w:type="dxa"/>
        <w:tblLook w:val="04A0" w:firstRow="1" w:lastRow="0" w:firstColumn="1" w:lastColumn="0" w:noHBand="0" w:noVBand="1"/>
      </w:tblPr>
      <w:tblGrid>
        <w:gridCol w:w="4105"/>
        <w:gridCol w:w="4536"/>
      </w:tblGrid>
      <w:tr w:rsidR="00823EE9" w:rsidRPr="003728B8" w14:paraId="2174EE24" w14:textId="77777777" w:rsidTr="00874DFD">
        <w:tc>
          <w:tcPr>
            <w:tcW w:w="4105" w:type="dxa"/>
          </w:tcPr>
          <w:p w14:paraId="229A4DD4" w14:textId="77777777" w:rsidR="00823EE9" w:rsidRPr="003728B8" w:rsidRDefault="00823EE9" w:rsidP="00874DFD">
            <w:pPr>
              <w:spacing w:line="360" w:lineRule="auto"/>
              <w:jc w:val="both"/>
              <w:rPr>
                <w:rFonts w:ascii="Book Antiqua" w:hAnsi="Book Antiqua"/>
                <w:b/>
              </w:rPr>
            </w:pPr>
            <w:r w:rsidRPr="003728B8">
              <w:rPr>
                <w:rFonts w:ascii="Book Antiqua" w:hAnsi="Book Antiqua"/>
                <w:b/>
              </w:rPr>
              <w:t>Period within which step is to be taken</w:t>
            </w:r>
          </w:p>
        </w:tc>
        <w:tc>
          <w:tcPr>
            <w:tcW w:w="4536" w:type="dxa"/>
          </w:tcPr>
          <w:p w14:paraId="14A88EA4" w14:textId="77777777" w:rsidR="00823EE9" w:rsidRPr="003728B8" w:rsidRDefault="00823EE9" w:rsidP="00874DFD">
            <w:pPr>
              <w:spacing w:line="360" w:lineRule="auto"/>
              <w:jc w:val="both"/>
              <w:rPr>
                <w:rFonts w:ascii="Book Antiqua" w:hAnsi="Book Antiqua"/>
                <w:b/>
              </w:rPr>
            </w:pPr>
            <w:r w:rsidRPr="003728B8">
              <w:rPr>
                <w:rFonts w:ascii="Book Antiqua" w:hAnsi="Book Antiqua"/>
                <w:b/>
              </w:rPr>
              <w:t>Action</w:t>
            </w:r>
          </w:p>
        </w:tc>
      </w:tr>
      <w:tr w:rsidR="00823EE9" w14:paraId="14A9EB1B" w14:textId="77777777" w:rsidTr="00874DFD">
        <w:tc>
          <w:tcPr>
            <w:tcW w:w="4105" w:type="dxa"/>
          </w:tcPr>
          <w:p w14:paraId="1DE09646" w14:textId="77777777" w:rsidR="00823EE9" w:rsidRDefault="00823EE9" w:rsidP="00874DFD">
            <w:pPr>
              <w:spacing w:line="360" w:lineRule="auto"/>
              <w:jc w:val="both"/>
              <w:rPr>
                <w:rFonts w:ascii="Book Antiqua" w:hAnsi="Book Antiqua"/>
              </w:rPr>
            </w:pPr>
            <w:r>
              <w:rPr>
                <w:rFonts w:ascii="Book Antiqua" w:hAnsi="Book Antiqua"/>
              </w:rPr>
              <w:t>Day 1</w:t>
            </w:r>
          </w:p>
        </w:tc>
        <w:tc>
          <w:tcPr>
            <w:tcW w:w="4536" w:type="dxa"/>
          </w:tcPr>
          <w:p w14:paraId="4BF1C1F0" w14:textId="77777777" w:rsidR="00823EE9" w:rsidRDefault="00823EE9" w:rsidP="00874DFD">
            <w:pPr>
              <w:spacing w:line="360" w:lineRule="auto"/>
              <w:jc w:val="both"/>
              <w:rPr>
                <w:rFonts w:ascii="Book Antiqua" w:hAnsi="Book Antiqua"/>
              </w:rPr>
            </w:pPr>
            <w:r>
              <w:rPr>
                <w:rFonts w:ascii="Book Antiqua" w:hAnsi="Book Antiqua"/>
              </w:rPr>
              <w:t>Notice of appeal provided to Tribunal</w:t>
            </w:r>
          </w:p>
        </w:tc>
      </w:tr>
      <w:tr w:rsidR="00823EE9" w14:paraId="029921D5" w14:textId="77777777" w:rsidTr="00874DFD">
        <w:tc>
          <w:tcPr>
            <w:tcW w:w="4105" w:type="dxa"/>
          </w:tcPr>
          <w:p w14:paraId="55AD3942" w14:textId="77777777" w:rsidR="00823EE9" w:rsidRDefault="00823EE9" w:rsidP="00874DFD">
            <w:pPr>
              <w:spacing w:line="360" w:lineRule="auto"/>
              <w:jc w:val="both"/>
              <w:rPr>
                <w:rFonts w:ascii="Book Antiqua" w:hAnsi="Book Antiqua"/>
              </w:rPr>
            </w:pPr>
            <w:r>
              <w:rPr>
                <w:rFonts w:ascii="Book Antiqua" w:hAnsi="Book Antiqua"/>
              </w:rPr>
              <w:t>Not later than 14 days after notice of appeal</w:t>
            </w:r>
          </w:p>
        </w:tc>
        <w:tc>
          <w:tcPr>
            <w:tcW w:w="4536" w:type="dxa"/>
          </w:tcPr>
          <w:p w14:paraId="717A79A2" w14:textId="77777777" w:rsidR="00823EE9" w:rsidRDefault="00823EE9" w:rsidP="00874DFD">
            <w:pPr>
              <w:spacing w:line="360" w:lineRule="auto"/>
              <w:jc w:val="both"/>
              <w:rPr>
                <w:rFonts w:ascii="Book Antiqua" w:hAnsi="Book Antiqua"/>
              </w:rPr>
            </w:pPr>
            <w:r>
              <w:rPr>
                <w:rFonts w:ascii="Book Antiqua" w:hAnsi="Book Antiqua"/>
              </w:rPr>
              <w:t>Respondent’s bundle (“RB”) must be provided</w:t>
            </w:r>
          </w:p>
        </w:tc>
      </w:tr>
      <w:tr w:rsidR="00823EE9" w14:paraId="3F6700B5" w14:textId="77777777" w:rsidTr="00874DFD">
        <w:tc>
          <w:tcPr>
            <w:tcW w:w="4105" w:type="dxa"/>
          </w:tcPr>
          <w:p w14:paraId="47B3A419" w14:textId="77777777" w:rsidR="00823EE9" w:rsidRPr="00D229A8" w:rsidRDefault="00823EE9" w:rsidP="00874DFD">
            <w:pPr>
              <w:spacing w:line="360" w:lineRule="auto"/>
              <w:jc w:val="both"/>
              <w:rPr>
                <w:rFonts w:ascii="Book Antiqua" w:hAnsi="Book Antiqua"/>
              </w:rPr>
            </w:pPr>
            <w:r w:rsidRPr="00D229A8">
              <w:rPr>
                <w:rFonts w:ascii="Book Antiqua" w:hAnsi="Book Antiqua"/>
              </w:rPr>
              <w:t>28 days after provision of RB or 42 days after notice of appeal, whichever is later.</w:t>
            </w:r>
          </w:p>
        </w:tc>
        <w:tc>
          <w:tcPr>
            <w:tcW w:w="4536" w:type="dxa"/>
          </w:tcPr>
          <w:p w14:paraId="51AB2402" w14:textId="77777777" w:rsidR="00823EE9" w:rsidRDefault="00823EE9" w:rsidP="00874DFD">
            <w:pPr>
              <w:spacing w:line="360" w:lineRule="auto"/>
              <w:jc w:val="both"/>
              <w:rPr>
                <w:rFonts w:ascii="Book Antiqua" w:hAnsi="Book Antiqua"/>
              </w:rPr>
            </w:pPr>
            <w:r>
              <w:rPr>
                <w:rFonts w:ascii="Book Antiqua" w:hAnsi="Book Antiqua"/>
              </w:rPr>
              <w:t>Appellant must provide:</w:t>
            </w:r>
          </w:p>
          <w:p w14:paraId="2D9131CD" w14:textId="77777777" w:rsidR="00823EE9" w:rsidRDefault="00823EE9" w:rsidP="00874DFD">
            <w:pPr>
              <w:spacing w:line="360" w:lineRule="auto"/>
              <w:jc w:val="both"/>
              <w:rPr>
                <w:rFonts w:ascii="Book Antiqua" w:hAnsi="Book Antiqua"/>
              </w:rPr>
            </w:pPr>
            <w:r>
              <w:rPr>
                <w:rFonts w:ascii="Book Antiqua" w:hAnsi="Book Antiqua"/>
              </w:rPr>
              <w:t>(</w:t>
            </w:r>
            <w:proofErr w:type="spellStart"/>
            <w:r>
              <w:rPr>
                <w:rFonts w:ascii="Book Antiqua" w:hAnsi="Book Antiqua"/>
              </w:rPr>
              <w:t>i</w:t>
            </w:r>
            <w:proofErr w:type="spellEnd"/>
            <w:r>
              <w:rPr>
                <w:rFonts w:ascii="Book Antiqua" w:hAnsi="Book Antiqua"/>
              </w:rPr>
              <w:t>) Appeal Skeleton Argument</w:t>
            </w:r>
          </w:p>
          <w:p w14:paraId="36304D7B" w14:textId="77777777" w:rsidR="00823EE9" w:rsidRDefault="00823EE9" w:rsidP="00874DFD">
            <w:pPr>
              <w:spacing w:line="360" w:lineRule="auto"/>
              <w:jc w:val="both"/>
              <w:rPr>
                <w:rFonts w:ascii="Book Antiqua" w:hAnsi="Book Antiqua"/>
              </w:rPr>
            </w:pPr>
            <w:r>
              <w:rPr>
                <w:rFonts w:ascii="Book Antiqua" w:hAnsi="Book Antiqua"/>
              </w:rPr>
              <w:t>(ii) Bundle of evidence in support</w:t>
            </w:r>
          </w:p>
          <w:p w14:paraId="76193083" w14:textId="77777777" w:rsidR="00823EE9" w:rsidRDefault="00823EE9" w:rsidP="00874DFD">
            <w:pPr>
              <w:spacing w:line="360" w:lineRule="auto"/>
              <w:jc w:val="both"/>
              <w:rPr>
                <w:rFonts w:ascii="Book Antiqua" w:hAnsi="Book Antiqua"/>
              </w:rPr>
            </w:pPr>
            <w:r>
              <w:rPr>
                <w:rFonts w:ascii="Book Antiqua" w:hAnsi="Book Antiqua"/>
              </w:rPr>
              <w:t>(iii) Schedule of issues</w:t>
            </w:r>
          </w:p>
        </w:tc>
      </w:tr>
      <w:tr w:rsidR="00823EE9" w14:paraId="4BEC966B" w14:textId="77777777" w:rsidTr="00874DFD">
        <w:tc>
          <w:tcPr>
            <w:tcW w:w="4105" w:type="dxa"/>
          </w:tcPr>
          <w:p w14:paraId="6D9307FA" w14:textId="77777777" w:rsidR="00823EE9" w:rsidRDefault="00823EE9" w:rsidP="00874DFD">
            <w:pPr>
              <w:spacing w:line="360" w:lineRule="auto"/>
              <w:jc w:val="both"/>
              <w:rPr>
                <w:rFonts w:ascii="Book Antiqua" w:hAnsi="Book Antiqua"/>
              </w:rPr>
            </w:pPr>
            <w:r>
              <w:rPr>
                <w:rFonts w:ascii="Book Antiqua" w:hAnsi="Book Antiqua"/>
              </w:rPr>
              <w:t>14 days after provision of appellant’s ASA, schedule of issues and evidence</w:t>
            </w:r>
          </w:p>
        </w:tc>
        <w:tc>
          <w:tcPr>
            <w:tcW w:w="4536" w:type="dxa"/>
          </w:tcPr>
          <w:p w14:paraId="3CA5F510" w14:textId="77777777" w:rsidR="00823EE9" w:rsidRDefault="00823EE9" w:rsidP="00874DFD">
            <w:pPr>
              <w:spacing w:line="360" w:lineRule="auto"/>
              <w:jc w:val="both"/>
              <w:rPr>
                <w:rFonts w:ascii="Book Antiqua" w:hAnsi="Book Antiqua"/>
              </w:rPr>
            </w:pPr>
            <w:r>
              <w:rPr>
                <w:rFonts w:ascii="Book Antiqua" w:hAnsi="Book Antiqua"/>
              </w:rPr>
              <w:t>Respondent must provide:</w:t>
            </w:r>
          </w:p>
          <w:p w14:paraId="45B72860" w14:textId="77777777" w:rsidR="00823EE9" w:rsidRDefault="00823EE9" w:rsidP="00874DFD">
            <w:pPr>
              <w:spacing w:line="360" w:lineRule="auto"/>
              <w:jc w:val="both"/>
              <w:rPr>
                <w:rFonts w:ascii="Book Antiqua" w:hAnsi="Book Antiqua"/>
              </w:rPr>
            </w:pPr>
            <w:r>
              <w:rPr>
                <w:rFonts w:ascii="Book Antiqua" w:hAnsi="Book Antiqua"/>
              </w:rPr>
              <w:t>(</w:t>
            </w:r>
            <w:proofErr w:type="spellStart"/>
            <w:r>
              <w:rPr>
                <w:rFonts w:ascii="Book Antiqua" w:hAnsi="Book Antiqua"/>
              </w:rPr>
              <w:t>i</w:t>
            </w:r>
            <w:proofErr w:type="spellEnd"/>
            <w:r>
              <w:rPr>
                <w:rFonts w:ascii="Book Antiqua" w:hAnsi="Book Antiqua"/>
              </w:rPr>
              <w:t>) Response to appellant’s case</w:t>
            </w:r>
          </w:p>
          <w:p w14:paraId="1E94C23E" w14:textId="77777777" w:rsidR="00823EE9" w:rsidRDefault="00823EE9" w:rsidP="00874DFD">
            <w:pPr>
              <w:spacing w:line="360" w:lineRule="auto"/>
              <w:jc w:val="both"/>
              <w:rPr>
                <w:rFonts w:ascii="Book Antiqua" w:hAnsi="Book Antiqua"/>
              </w:rPr>
            </w:pPr>
            <w:r>
              <w:rPr>
                <w:rFonts w:ascii="Book Antiqua" w:hAnsi="Book Antiqua"/>
              </w:rPr>
              <w:t>(ii) Particulars of any disagreement with appellant’s schedule of issues</w:t>
            </w:r>
          </w:p>
        </w:tc>
      </w:tr>
    </w:tbl>
    <w:p w14:paraId="4E53752A" w14:textId="77777777" w:rsidR="00823EE9" w:rsidRPr="00A4533C" w:rsidRDefault="00823EE9" w:rsidP="00823EE9">
      <w:pPr>
        <w:spacing w:line="360" w:lineRule="auto"/>
        <w:jc w:val="both"/>
        <w:rPr>
          <w:rFonts w:ascii="Book Antiqua" w:hAnsi="Book Antiqua" w:cs="Arial"/>
          <w:lang w:val="en"/>
        </w:rPr>
      </w:pPr>
    </w:p>
    <w:p w14:paraId="72C2B47B" w14:textId="77777777" w:rsidR="00823EE9" w:rsidRPr="00A4533C" w:rsidRDefault="00823EE9" w:rsidP="00823EE9">
      <w:pPr>
        <w:pStyle w:val="ListParagraph"/>
        <w:spacing w:line="360" w:lineRule="auto"/>
        <w:ind w:left="1080"/>
        <w:jc w:val="both"/>
        <w:rPr>
          <w:rFonts w:ascii="Book Antiqua" w:hAnsi="Book Antiqua" w:cs="Arial"/>
          <w:lang w:val="en"/>
        </w:rPr>
      </w:pPr>
    </w:p>
    <w:p w14:paraId="3292C5ED" w14:textId="77777777" w:rsidR="00823EE9" w:rsidRDefault="00823EE9" w:rsidP="00823EE9">
      <w:pPr>
        <w:spacing w:line="360" w:lineRule="auto"/>
        <w:rPr>
          <w:rFonts w:ascii="Book Antiqua" w:hAnsi="Book Antiqua" w:cs="Arial"/>
          <w:lang w:val="en"/>
        </w:rPr>
      </w:pPr>
    </w:p>
    <w:p w14:paraId="43BFD6A9" w14:textId="77777777" w:rsidR="00823EE9" w:rsidRPr="00865C5B" w:rsidRDefault="00823EE9" w:rsidP="00823EE9">
      <w:pPr>
        <w:spacing w:line="360" w:lineRule="auto"/>
        <w:rPr>
          <w:rFonts w:ascii="Book Antiqua" w:hAnsi="Book Antiqua" w:cs="Arial"/>
          <w:lang w:val="en"/>
        </w:rPr>
      </w:pPr>
    </w:p>
    <w:p w14:paraId="319AE8C3" w14:textId="77777777" w:rsidR="00823EE9" w:rsidRPr="00865C5B" w:rsidRDefault="00823EE9" w:rsidP="00823EE9">
      <w:pPr>
        <w:pStyle w:val="ListParagraph"/>
        <w:spacing w:line="360" w:lineRule="auto"/>
        <w:ind w:left="426"/>
        <w:jc w:val="both"/>
        <w:rPr>
          <w:rFonts w:ascii="Book Antiqua" w:hAnsi="Book Antiqua"/>
        </w:rPr>
      </w:pPr>
    </w:p>
    <w:p w14:paraId="1EE052BD" w14:textId="77777777" w:rsidR="00823EE9" w:rsidRPr="00E60BF5" w:rsidRDefault="00823EE9" w:rsidP="00823EE9">
      <w:pPr>
        <w:spacing w:line="360" w:lineRule="auto"/>
        <w:ind w:left="360"/>
        <w:jc w:val="both"/>
        <w:rPr>
          <w:rFonts w:ascii="Book Antiqua" w:hAnsi="Book Antiqua"/>
        </w:rPr>
      </w:pPr>
    </w:p>
    <w:p w14:paraId="715728CE" w14:textId="77777777" w:rsidR="00823EE9" w:rsidRPr="006C7FFE" w:rsidRDefault="00823EE9" w:rsidP="006C7FFE">
      <w:pPr>
        <w:rPr>
          <w:color w:val="FF0000"/>
          <w:szCs w:val="22"/>
          <w:shd w:val="clear" w:color="auto" w:fill="FFFFFF"/>
        </w:rPr>
      </w:pPr>
    </w:p>
    <w:sectPr w:rsidR="00823EE9" w:rsidRPr="006C7FFE" w:rsidSect="00A13690">
      <w:headerReference w:type="even" r:id="rId16"/>
      <w:headerReference w:type="default" r:id="rId17"/>
      <w:footerReference w:type="even" r:id="rId18"/>
      <w:footerReference w:type="default" r:id="rId19"/>
      <w:headerReference w:type="first" r:id="rId20"/>
      <w:footerReference w:type="first" r:id="rId21"/>
      <w:pgSz w:w="11906" w:h="16838" w:code="9"/>
      <w:pgMar w:top="794" w:right="1418" w:bottom="1418" w:left="1985"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4841" w14:textId="77777777" w:rsidR="00A339B4" w:rsidRDefault="00A339B4" w:rsidP="00DC28A4">
      <w:r>
        <w:separator/>
      </w:r>
    </w:p>
  </w:endnote>
  <w:endnote w:type="continuationSeparator" w:id="0">
    <w:p w14:paraId="4507FF7A" w14:textId="77777777" w:rsidR="00A339B4" w:rsidRDefault="00A339B4" w:rsidP="00D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0878" w14:textId="77777777" w:rsidR="00B240BC" w:rsidRDefault="00B240BC"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A4CA9F" w14:textId="77777777" w:rsidR="00B240BC" w:rsidRDefault="00B240BC" w:rsidP="00A13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8C9" w14:textId="56623690" w:rsidR="00B240BC" w:rsidRDefault="00B240BC"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EE9">
      <w:rPr>
        <w:rStyle w:val="PageNumber"/>
        <w:noProof/>
      </w:rPr>
      <w:t>9</w:t>
    </w:r>
    <w:r>
      <w:rPr>
        <w:rStyle w:val="PageNumber"/>
      </w:rPr>
      <w:fldChar w:fldCharType="end"/>
    </w:r>
  </w:p>
  <w:p w14:paraId="2957CA75" w14:textId="101EA013" w:rsidR="00B240BC" w:rsidRPr="00690348" w:rsidRDefault="00B240BC" w:rsidP="00A13690">
    <w:pPr>
      <w:pStyle w:val="FooterConfidentiality"/>
      <w:ind w:right="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79EC" w14:textId="77777777" w:rsidR="005A6FC2" w:rsidRDefault="005A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84F4" w14:textId="77777777" w:rsidR="00A339B4" w:rsidRDefault="00A339B4" w:rsidP="00DC28A4">
      <w:r>
        <w:separator/>
      </w:r>
    </w:p>
  </w:footnote>
  <w:footnote w:type="continuationSeparator" w:id="0">
    <w:p w14:paraId="67369D7D" w14:textId="77777777" w:rsidR="00A339B4" w:rsidRDefault="00A339B4" w:rsidP="00DC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04C6" w14:textId="77777777" w:rsidR="005A6FC2" w:rsidRDefault="005A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68BE" w14:textId="77777777" w:rsidR="005A6FC2" w:rsidRDefault="005A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84C" w14:textId="368D92E3" w:rsidR="00B240BC" w:rsidRDefault="00F14D63">
    <w:pPr>
      <w:pStyle w:val="Header"/>
      <w:rPr>
        <w:sz w:val="2"/>
      </w:rPr>
    </w:pPr>
    <w:r>
      <w:rPr>
        <w:noProof/>
        <w:sz w:val="2"/>
      </w:rPr>
      <mc:AlternateContent>
        <mc:Choice Requires="wps">
          <w:drawing>
            <wp:anchor distT="0" distB="0" distL="114300" distR="114300" simplePos="0" relativeHeight="251657728" behindDoc="0" locked="0" layoutInCell="0" allowOverlap="1" wp14:anchorId="4EF36B85" wp14:editId="2DA53922">
              <wp:simplePos x="0" y="0"/>
              <wp:positionH relativeFrom="page">
                <wp:posOffset>0</wp:posOffset>
              </wp:positionH>
              <wp:positionV relativeFrom="page">
                <wp:posOffset>3888740</wp:posOffset>
              </wp:positionV>
              <wp:extent cx="360045" cy="0"/>
              <wp:effectExtent l="9525" t="12065" r="1143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1DE2"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6.2pt" to="28.3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" o:allowincell="f" strokecolor="silver"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C9F"/>
    <w:multiLevelType w:val="hybridMultilevel"/>
    <w:tmpl w:val="64B27D26"/>
    <w:lvl w:ilvl="0" w:tplc="7BB43E3E">
      <w:start w:val="1"/>
      <w:numFmt w:val="decimal"/>
      <w:lvlText w:val="%1."/>
      <w:lvlJc w:val="left"/>
      <w:pPr>
        <w:ind w:left="720" w:hanging="360"/>
      </w:pPr>
      <w:rPr>
        <w:rFonts w:ascii="Book Antiqua" w:eastAsia="Times New Roman" w:hAnsi="Book Antiqu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B7AFA"/>
    <w:multiLevelType w:val="multilevel"/>
    <w:tmpl w:val="1DC09D84"/>
    <w:lvl w:ilvl="0">
      <w:start w:val="3"/>
      <w:numFmt w:val="decimal"/>
      <w:lvlText w:val="%1"/>
      <w:lvlJc w:val="left"/>
      <w:pPr>
        <w:ind w:left="435" w:hanging="435"/>
      </w:pPr>
      <w:rPr>
        <w:rFonts w:hint="default"/>
      </w:rPr>
    </w:lvl>
    <w:lvl w:ilvl="1">
      <w:start w:val="7"/>
      <w:numFmt w:val="decimal"/>
      <w:lvlText w:val="%1.%2"/>
      <w:lvlJc w:val="left"/>
      <w:pPr>
        <w:ind w:left="975" w:hanging="43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A3F46CD"/>
    <w:multiLevelType w:val="multilevel"/>
    <w:tmpl w:val="8AE84C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4D7D36"/>
    <w:multiLevelType w:val="hybridMultilevel"/>
    <w:tmpl w:val="C2E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F1FFE"/>
    <w:multiLevelType w:val="multilevel"/>
    <w:tmpl w:val="6DA280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E714F"/>
    <w:multiLevelType w:val="hybridMultilevel"/>
    <w:tmpl w:val="D3F88264"/>
    <w:lvl w:ilvl="0" w:tplc="A01613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90"/>
    <w:rsid w:val="00020057"/>
    <w:rsid w:val="00031F12"/>
    <w:rsid w:val="00037A54"/>
    <w:rsid w:val="000610A6"/>
    <w:rsid w:val="00070AD5"/>
    <w:rsid w:val="000829D1"/>
    <w:rsid w:val="000A4BBD"/>
    <w:rsid w:val="000A72F1"/>
    <w:rsid w:val="000B4D10"/>
    <w:rsid w:val="000C2D4E"/>
    <w:rsid w:val="000C57FE"/>
    <w:rsid w:val="00113DB2"/>
    <w:rsid w:val="0014337E"/>
    <w:rsid w:val="001552F9"/>
    <w:rsid w:val="00155C3A"/>
    <w:rsid w:val="001611E5"/>
    <w:rsid w:val="001963F6"/>
    <w:rsid w:val="001A1F8B"/>
    <w:rsid w:val="001A22ED"/>
    <w:rsid w:val="001C0BA0"/>
    <w:rsid w:val="001C449D"/>
    <w:rsid w:val="001D429E"/>
    <w:rsid w:val="001E12DB"/>
    <w:rsid w:val="002127F9"/>
    <w:rsid w:val="00233825"/>
    <w:rsid w:val="00236982"/>
    <w:rsid w:val="0027463E"/>
    <w:rsid w:val="0027629A"/>
    <w:rsid w:val="00282C11"/>
    <w:rsid w:val="002C6859"/>
    <w:rsid w:val="00326B23"/>
    <w:rsid w:val="00334FCD"/>
    <w:rsid w:val="00335A40"/>
    <w:rsid w:val="00360739"/>
    <w:rsid w:val="00371A44"/>
    <w:rsid w:val="003942AF"/>
    <w:rsid w:val="003A4B58"/>
    <w:rsid w:val="003A65E3"/>
    <w:rsid w:val="00403585"/>
    <w:rsid w:val="00405EAA"/>
    <w:rsid w:val="00427F0F"/>
    <w:rsid w:val="00444C6A"/>
    <w:rsid w:val="00463124"/>
    <w:rsid w:val="0047759C"/>
    <w:rsid w:val="00483CB3"/>
    <w:rsid w:val="004B288A"/>
    <w:rsid w:val="00524B35"/>
    <w:rsid w:val="0054291E"/>
    <w:rsid w:val="0056054B"/>
    <w:rsid w:val="00573118"/>
    <w:rsid w:val="00576E4B"/>
    <w:rsid w:val="005A6FC2"/>
    <w:rsid w:val="005D58E6"/>
    <w:rsid w:val="005F2B17"/>
    <w:rsid w:val="00601EC4"/>
    <w:rsid w:val="00604C02"/>
    <w:rsid w:val="006238A9"/>
    <w:rsid w:val="0065799F"/>
    <w:rsid w:val="0069507E"/>
    <w:rsid w:val="00696605"/>
    <w:rsid w:val="006C7E67"/>
    <w:rsid w:val="006C7FFE"/>
    <w:rsid w:val="006E27BF"/>
    <w:rsid w:val="006E5275"/>
    <w:rsid w:val="006E67C5"/>
    <w:rsid w:val="006F1ADB"/>
    <w:rsid w:val="007336D4"/>
    <w:rsid w:val="00750BD3"/>
    <w:rsid w:val="00752273"/>
    <w:rsid w:val="007827C2"/>
    <w:rsid w:val="00785C22"/>
    <w:rsid w:val="00786F9A"/>
    <w:rsid w:val="007A0F3A"/>
    <w:rsid w:val="007D33FC"/>
    <w:rsid w:val="007E65C5"/>
    <w:rsid w:val="008106A3"/>
    <w:rsid w:val="00823EE9"/>
    <w:rsid w:val="008330C5"/>
    <w:rsid w:val="0087710B"/>
    <w:rsid w:val="00893C35"/>
    <w:rsid w:val="008A07CE"/>
    <w:rsid w:val="008C021B"/>
    <w:rsid w:val="008C32FA"/>
    <w:rsid w:val="008C3BCF"/>
    <w:rsid w:val="00913133"/>
    <w:rsid w:val="00943410"/>
    <w:rsid w:val="00975B79"/>
    <w:rsid w:val="009936D3"/>
    <w:rsid w:val="009A20D3"/>
    <w:rsid w:val="009C11C8"/>
    <w:rsid w:val="009F446E"/>
    <w:rsid w:val="00A02921"/>
    <w:rsid w:val="00A03CBA"/>
    <w:rsid w:val="00A065F5"/>
    <w:rsid w:val="00A12E0D"/>
    <w:rsid w:val="00A13690"/>
    <w:rsid w:val="00A1614E"/>
    <w:rsid w:val="00A339B4"/>
    <w:rsid w:val="00A42BED"/>
    <w:rsid w:val="00A55C13"/>
    <w:rsid w:val="00A81FDB"/>
    <w:rsid w:val="00AD54DB"/>
    <w:rsid w:val="00AE23D9"/>
    <w:rsid w:val="00B12652"/>
    <w:rsid w:val="00B229DE"/>
    <w:rsid w:val="00B240BC"/>
    <w:rsid w:val="00B435C1"/>
    <w:rsid w:val="00B43F66"/>
    <w:rsid w:val="00B50629"/>
    <w:rsid w:val="00B51C37"/>
    <w:rsid w:val="00B53558"/>
    <w:rsid w:val="00B56CAE"/>
    <w:rsid w:val="00B77A3F"/>
    <w:rsid w:val="00BA0B6E"/>
    <w:rsid w:val="00BA2D1C"/>
    <w:rsid w:val="00BC2390"/>
    <w:rsid w:val="00BF0C67"/>
    <w:rsid w:val="00C17E72"/>
    <w:rsid w:val="00C22686"/>
    <w:rsid w:val="00C2736D"/>
    <w:rsid w:val="00C36C9A"/>
    <w:rsid w:val="00C37D76"/>
    <w:rsid w:val="00C53CDB"/>
    <w:rsid w:val="00C60CB8"/>
    <w:rsid w:val="00C62669"/>
    <w:rsid w:val="00C6456B"/>
    <w:rsid w:val="00C95417"/>
    <w:rsid w:val="00CC79B6"/>
    <w:rsid w:val="00CD281D"/>
    <w:rsid w:val="00CD4F6E"/>
    <w:rsid w:val="00CE4D1A"/>
    <w:rsid w:val="00D0289E"/>
    <w:rsid w:val="00D04A53"/>
    <w:rsid w:val="00D144D2"/>
    <w:rsid w:val="00D42837"/>
    <w:rsid w:val="00D54AC9"/>
    <w:rsid w:val="00D7018F"/>
    <w:rsid w:val="00D81312"/>
    <w:rsid w:val="00DC28A4"/>
    <w:rsid w:val="00DD12B2"/>
    <w:rsid w:val="00DE27AD"/>
    <w:rsid w:val="00DF51E0"/>
    <w:rsid w:val="00E108A1"/>
    <w:rsid w:val="00E13023"/>
    <w:rsid w:val="00E43C2E"/>
    <w:rsid w:val="00E45478"/>
    <w:rsid w:val="00E66FDC"/>
    <w:rsid w:val="00E773FB"/>
    <w:rsid w:val="00E91C57"/>
    <w:rsid w:val="00ED646C"/>
    <w:rsid w:val="00EE2E1A"/>
    <w:rsid w:val="00EF4C22"/>
    <w:rsid w:val="00F01494"/>
    <w:rsid w:val="00F06FFF"/>
    <w:rsid w:val="00F11B3D"/>
    <w:rsid w:val="00F14D63"/>
    <w:rsid w:val="00F3180C"/>
    <w:rsid w:val="00F32690"/>
    <w:rsid w:val="00F64E78"/>
    <w:rsid w:val="00F759DF"/>
    <w:rsid w:val="00F843B2"/>
    <w:rsid w:val="00F934FD"/>
    <w:rsid w:val="00FB31AF"/>
    <w:rsid w:val="00FC6CE2"/>
    <w:rsid w:val="00FD561C"/>
    <w:rsid w:val="00FD6FC3"/>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6DBA5"/>
  <w15:chartTrackingRefBased/>
  <w15:docId w15:val="{2085C5F7-79AF-4E6E-B066-662018C5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69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13690"/>
  </w:style>
  <w:style w:type="paragraph" w:customStyle="1" w:styleId="HMCTStext-officename">
    <w:name w:val="HMCTS text - office name"/>
    <w:rsid w:val="00A13690"/>
    <w:rPr>
      <w:rFonts w:ascii="Arial" w:hAnsi="Arial"/>
      <w:b/>
      <w:sz w:val="17"/>
      <w:szCs w:val="24"/>
    </w:rPr>
  </w:style>
  <w:style w:type="paragraph" w:customStyle="1" w:styleId="HMCTStext-otheraddress">
    <w:name w:val="HMCTS text - other address"/>
    <w:rsid w:val="00A13690"/>
    <w:pPr>
      <w:tabs>
        <w:tab w:val="left" w:pos="170"/>
      </w:tabs>
    </w:pPr>
    <w:rPr>
      <w:rFonts w:ascii="Arial" w:hAnsi="Arial"/>
      <w:sz w:val="17"/>
      <w:szCs w:val="24"/>
    </w:rPr>
  </w:style>
  <w:style w:type="paragraph" w:styleId="Header">
    <w:name w:val="header"/>
    <w:basedOn w:val="Normal"/>
    <w:rsid w:val="00A13690"/>
    <w:pPr>
      <w:tabs>
        <w:tab w:val="center" w:pos="4153"/>
        <w:tab w:val="right" w:pos="8306"/>
      </w:tabs>
    </w:pPr>
  </w:style>
  <w:style w:type="paragraph" w:styleId="Footer">
    <w:name w:val="footer"/>
    <w:basedOn w:val="Normal"/>
    <w:link w:val="FooterChar"/>
    <w:uiPriority w:val="99"/>
    <w:rsid w:val="00A13690"/>
    <w:pPr>
      <w:tabs>
        <w:tab w:val="center" w:pos="4153"/>
        <w:tab w:val="right" w:pos="8306"/>
      </w:tabs>
    </w:pPr>
  </w:style>
  <w:style w:type="paragraph" w:customStyle="1" w:styleId="FooterConfidentiality">
    <w:name w:val="FooterConfidentiality"/>
    <w:basedOn w:val="Normal"/>
    <w:rsid w:val="00A13690"/>
    <w:pPr>
      <w:spacing w:line="220" w:lineRule="exact"/>
      <w:jc w:val="center"/>
    </w:pPr>
    <w:rPr>
      <w:rFonts w:eastAsia="Times"/>
      <w:b/>
      <w:color w:val="000000"/>
      <w:szCs w:val="22"/>
      <w:lang w:eastAsia="en-US"/>
    </w:rPr>
  </w:style>
  <w:style w:type="paragraph" w:customStyle="1" w:styleId="HMCTSnormal">
    <w:name w:val="HMCTS normal"/>
    <w:rsid w:val="00A13690"/>
    <w:rPr>
      <w:rFonts w:ascii="Arial" w:hAnsi="Arial"/>
      <w:sz w:val="22"/>
      <w:szCs w:val="24"/>
    </w:rPr>
  </w:style>
  <w:style w:type="paragraph" w:styleId="DocumentMap">
    <w:name w:val="Document Map"/>
    <w:basedOn w:val="Normal"/>
    <w:semiHidden/>
    <w:rsid w:val="008330C5"/>
    <w:pPr>
      <w:shd w:val="clear" w:color="auto" w:fill="000080"/>
    </w:pPr>
    <w:rPr>
      <w:rFonts w:ascii="Tahoma" w:hAnsi="Tahoma"/>
      <w:sz w:val="20"/>
      <w:szCs w:val="20"/>
    </w:rPr>
  </w:style>
  <w:style w:type="character" w:styleId="Hyperlink">
    <w:name w:val="Hyperlink"/>
    <w:rsid w:val="00B77A3F"/>
    <w:rPr>
      <w:color w:val="0563C1"/>
      <w:u w:val="single"/>
    </w:rPr>
  </w:style>
  <w:style w:type="character" w:styleId="UnresolvedMention">
    <w:name w:val="Unresolved Mention"/>
    <w:uiPriority w:val="99"/>
    <w:semiHidden/>
    <w:unhideWhenUsed/>
    <w:rsid w:val="00B77A3F"/>
    <w:rPr>
      <w:color w:val="808080"/>
      <w:shd w:val="clear" w:color="auto" w:fill="E6E6E6"/>
    </w:rPr>
  </w:style>
  <w:style w:type="paragraph" w:styleId="NormalWeb">
    <w:name w:val="Normal (Web)"/>
    <w:basedOn w:val="Normal"/>
    <w:uiPriority w:val="99"/>
    <w:unhideWhenUsed/>
    <w:rsid w:val="00750BD3"/>
    <w:pPr>
      <w:spacing w:before="100" w:beforeAutospacing="1" w:after="100" w:afterAutospacing="1"/>
    </w:pPr>
    <w:rPr>
      <w:rFonts w:ascii="nta" w:hAnsi="nta"/>
      <w:sz w:val="24"/>
    </w:rPr>
  </w:style>
  <w:style w:type="character" w:customStyle="1" w:styleId="FooterChar">
    <w:name w:val="Footer Char"/>
    <w:link w:val="Footer"/>
    <w:uiPriority w:val="99"/>
    <w:rsid w:val="006C7FFE"/>
    <w:rPr>
      <w:rFonts w:ascii="Arial" w:hAnsi="Arial"/>
      <w:sz w:val="22"/>
      <w:szCs w:val="24"/>
    </w:rPr>
  </w:style>
  <w:style w:type="paragraph" w:styleId="BalloonText">
    <w:name w:val="Balloon Text"/>
    <w:basedOn w:val="Normal"/>
    <w:link w:val="BalloonTextChar"/>
    <w:rsid w:val="00B56CAE"/>
    <w:rPr>
      <w:rFonts w:ascii="Segoe UI" w:hAnsi="Segoe UI" w:cs="Segoe UI"/>
      <w:sz w:val="18"/>
      <w:szCs w:val="18"/>
    </w:rPr>
  </w:style>
  <w:style w:type="character" w:customStyle="1" w:styleId="BalloonTextChar">
    <w:name w:val="Balloon Text Char"/>
    <w:link w:val="BalloonText"/>
    <w:rsid w:val="00B56CAE"/>
    <w:rPr>
      <w:rFonts w:ascii="Segoe UI" w:hAnsi="Segoe UI" w:cs="Segoe UI"/>
      <w:sz w:val="18"/>
      <w:szCs w:val="18"/>
    </w:rPr>
  </w:style>
  <w:style w:type="paragraph" w:styleId="ListParagraph">
    <w:name w:val="List Paragraph"/>
    <w:basedOn w:val="Normal"/>
    <w:uiPriority w:val="34"/>
    <w:qFormat/>
    <w:rsid w:val="00E13023"/>
    <w:pPr>
      <w:ind w:left="720"/>
    </w:pPr>
  </w:style>
  <w:style w:type="character" w:styleId="CommentReference">
    <w:name w:val="annotation reference"/>
    <w:basedOn w:val="DefaultParagraphFont"/>
    <w:rsid w:val="006C7E67"/>
    <w:rPr>
      <w:sz w:val="16"/>
      <w:szCs w:val="16"/>
    </w:rPr>
  </w:style>
  <w:style w:type="paragraph" w:styleId="CommentText">
    <w:name w:val="annotation text"/>
    <w:basedOn w:val="Normal"/>
    <w:link w:val="CommentTextChar"/>
    <w:rsid w:val="006C7E67"/>
    <w:rPr>
      <w:sz w:val="20"/>
      <w:szCs w:val="20"/>
    </w:rPr>
  </w:style>
  <w:style w:type="character" w:customStyle="1" w:styleId="CommentTextChar">
    <w:name w:val="Comment Text Char"/>
    <w:basedOn w:val="DefaultParagraphFont"/>
    <w:link w:val="CommentText"/>
    <w:rsid w:val="006C7E67"/>
    <w:rPr>
      <w:rFonts w:ascii="Arial" w:hAnsi="Arial"/>
    </w:rPr>
  </w:style>
  <w:style w:type="paragraph" w:styleId="CommentSubject">
    <w:name w:val="annotation subject"/>
    <w:basedOn w:val="CommentText"/>
    <w:next w:val="CommentText"/>
    <w:link w:val="CommentSubjectChar"/>
    <w:rsid w:val="006C7E67"/>
    <w:rPr>
      <w:b/>
      <w:bCs/>
    </w:rPr>
  </w:style>
  <w:style w:type="character" w:customStyle="1" w:styleId="CommentSubjectChar">
    <w:name w:val="Comment Subject Char"/>
    <w:basedOn w:val="CommentTextChar"/>
    <w:link w:val="CommentSubject"/>
    <w:rsid w:val="006C7E67"/>
    <w:rPr>
      <w:rFonts w:ascii="Arial" w:hAnsi="Arial"/>
      <w:b/>
      <w:bCs/>
    </w:rPr>
  </w:style>
  <w:style w:type="paragraph" w:styleId="FootnoteText">
    <w:name w:val="footnote text"/>
    <w:basedOn w:val="Normal"/>
    <w:link w:val="FootnoteTextChar"/>
    <w:uiPriority w:val="99"/>
    <w:unhideWhenUsed/>
    <w:rsid w:val="00F14D63"/>
    <w:pPr>
      <w:spacing w:after="160" w:line="252" w:lineRule="auto"/>
    </w:pPr>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rsid w:val="00F14D63"/>
    <w:rPr>
      <w:rFonts w:ascii="Calibri" w:eastAsia="Calibri" w:hAnsi="Calibri" w:cs="Calibri"/>
      <w:lang w:eastAsia="en-US"/>
    </w:rPr>
  </w:style>
  <w:style w:type="character" w:styleId="FootnoteReference">
    <w:name w:val="footnote reference"/>
    <w:uiPriority w:val="99"/>
    <w:unhideWhenUsed/>
    <w:rsid w:val="00F14D63"/>
    <w:rPr>
      <w:vertAlign w:val="superscript"/>
    </w:rPr>
  </w:style>
  <w:style w:type="table" w:styleId="TableGrid">
    <w:name w:val="Table Grid"/>
    <w:basedOn w:val="TableNormal"/>
    <w:uiPriority w:val="39"/>
    <w:rsid w:val="00823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0435">
      <w:bodyDiv w:val="1"/>
      <w:marLeft w:val="0"/>
      <w:marRight w:val="0"/>
      <w:marTop w:val="0"/>
      <w:marBottom w:val="0"/>
      <w:divBdr>
        <w:top w:val="none" w:sz="0" w:space="0" w:color="auto"/>
        <w:left w:val="none" w:sz="0" w:space="0" w:color="auto"/>
        <w:bottom w:val="none" w:sz="0" w:space="0" w:color="auto"/>
        <w:right w:val="none" w:sz="0" w:space="0" w:color="auto"/>
      </w:divBdr>
      <w:divsChild>
        <w:div w:id="665204724">
          <w:marLeft w:val="0"/>
          <w:marRight w:val="0"/>
          <w:marTop w:val="0"/>
          <w:marBottom w:val="0"/>
          <w:divBdr>
            <w:top w:val="none" w:sz="0" w:space="0" w:color="auto"/>
            <w:left w:val="none" w:sz="0" w:space="0" w:color="auto"/>
            <w:bottom w:val="none" w:sz="0" w:space="0" w:color="auto"/>
            <w:right w:val="none" w:sz="0" w:space="0" w:color="auto"/>
          </w:divBdr>
          <w:divsChild>
            <w:div w:id="1011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1381">
      <w:bodyDiv w:val="1"/>
      <w:marLeft w:val="0"/>
      <w:marRight w:val="0"/>
      <w:marTop w:val="0"/>
      <w:marBottom w:val="0"/>
      <w:divBdr>
        <w:top w:val="none" w:sz="0" w:space="0" w:color="auto"/>
        <w:left w:val="none" w:sz="0" w:space="0" w:color="auto"/>
        <w:bottom w:val="none" w:sz="0" w:space="0" w:color="auto"/>
        <w:right w:val="none" w:sz="0" w:space="0" w:color="auto"/>
      </w:divBdr>
    </w:div>
    <w:div w:id="1230188130">
      <w:bodyDiv w:val="1"/>
      <w:marLeft w:val="0"/>
      <w:marRight w:val="0"/>
      <w:marTop w:val="0"/>
      <w:marBottom w:val="0"/>
      <w:divBdr>
        <w:top w:val="none" w:sz="0" w:space="0" w:color="auto"/>
        <w:left w:val="none" w:sz="0" w:space="0" w:color="auto"/>
        <w:bottom w:val="none" w:sz="0" w:space="0" w:color="auto"/>
        <w:right w:val="none" w:sz="0" w:space="0" w:color="auto"/>
      </w:divBdr>
    </w:div>
    <w:div w:id="1412433053">
      <w:bodyDiv w:val="1"/>
      <w:marLeft w:val="0"/>
      <w:marRight w:val="0"/>
      <w:marTop w:val="0"/>
      <w:marBottom w:val="0"/>
      <w:divBdr>
        <w:top w:val="none" w:sz="0" w:space="0" w:color="auto"/>
        <w:left w:val="none" w:sz="0" w:space="0" w:color="auto"/>
        <w:bottom w:val="none" w:sz="0" w:space="0" w:color="auto"/>
        <w:right w:val="none" w:sz="0" w:space="0" w:color="auto"/>
      </w:divBdr>
    </w:div>
    <w:div w:id="19825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iceuk-my.sharepoint.com/personal/matthew_hitchman_justice_gov_uk/Documents/Documents/Templates-%20directions/ecorrespondence@Justic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iceuk-my.sharepoint.com/personal/matthew_hitchman_justice_gov_uk/Documents/Documents/Templates-%20directions/ecorrespondence@Justice.gov.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3T14:25:52.153"/>
    </inkml:context>
    <inkml:brush xml:id="br0">
      <inkml:brushProperty name="width" value="0.05" units="cm"/>
      <inkml:brushProperty name="height" value="0.05" units="cm"/>
    </inkml:brush>
  </inkml:definitions>
  <inkml:trace contextRef="#ctx0" brushRef="#br0">2108 510 2883,'2'4'671,"0"0"1,-1 0-1,1 0 0,-1 1 1,0-1-1,0 0 0,0 1 1,0-1-1,-1 1 1,0-1-1,0 0 0,0 1 1,0-1-1,-1 1 1,0-1-1,0 0 0,0 1 1,-1 1-672,0 0 1044,0 0 0,-1 0-1,0-1 1,0 1 0,0-1 0,-1 0 0,-2 3-1044,-18 15 2127,9-15-1667,0 0 0,-1 0 0,0-1 0,0-1 1,0-1-1,-11 2-460,-32 6 196,-13-1-196,-42 2 151,-1-5 0,-4-5-151,-233-9 168,60-13-116,-93-25-52,100-3-4285,192 27-912,36 0-4516,57 19 9610,0 0 0,0 0 0,0 0 0,0 0 0,0 0 0,0 0 0,0 0 0,0 0 0,0 0 0,0 0 0,0 0 0,0 0 0,0 0 0,0 0 0,0 0 0,0 0 0,0 0 0,0 0 0,0 0 0,0 0 1,0 0-1,0-1 0,0 1 0,0 0 0,0 0 0,0 0 0,0 0 0,0 0 0,0 0 0,0 0 0,0 0 0,0 0 0,0 0 0,0 0 0,0 0 0,0 0 0,0 0 0,0 0 0,0 0 0,0 0 0,0 0 0,0 0 103,13-5-4041</inkml:trace>
  <inkml:trace contextRef="#ctx0" brushRef="#br0" timeOffset="550.19">1073 970 6598,'108'198'7430,"165"244"-1455,-263-427-5724,34 55 2422,5 15-2673,-38-64 372,-1 1 0,-1 1 0,-1 0 0,-1 0 1,-1 0-1,1 7-372,-6-25 16,-1-1 1,1 1-1,-1-1 0,0 1 1,0-1-1,0 1 1,-1-1-1,1 1 0,-1-1 1,0 0-1,-1 1 0,1-1 1,-1 0-1,-1 3-16,2-5 4,-1 1 0,-1 0-1,1-1 1,0 1-1,-1-1 1,1 0 0,-1 0-1,1 0 1,-1 0 0,0 0-1,0-1 1,0 1 0,0-1-1,0 0 1,0 0 0,0 0-1,-1 0 1,1 0 0,-2-1-4,-8 2 6,-1-1 0,1-1 1,0 0-1,0-1 0,0 0 0,0-1 1,0 0-1,-4-2-6,-28-9 151,-30-13-151,72 25 7,-373-158 910,48 19-4236,273 121-3280,51 17 2297,9 2-1690,14 2 3117,11 8-622</inkml:trace>
  <inkml:trace contextRef="#ctx0" brushRef="#br0" timeOffset="900.37">2004 2023 15823,'17'42'2594,"-11"-17"-1537,-6-25-4452,-22 13-1025,-4-27-64,2-8-65</inkml:trace>
  <inkml:trace contextRef="#ctx0" brushRef="#br0" timeOffset="1700.33">2863 629 10890,'-1'5'1059,"-1"1"0,0 0-1,-1-1 1,1 0 0,-1 0 0,0 0-1,-1 0 1,1 0 0,-3 2-1059,0 0 943,-1-1 1,0 1-1,0-1 0,0-1 0,-7 4-943,-11 5 922,-1-1 0,0-1 0,-14 3-922,21-7 451,-137 46 5,-1-8-1,-2-6 1,-69 5-456,174-35-114,-1-2 1,0-3-1,0-2 1,-49-5 113,95 2-23,1-1 0,-1-1-1,0 0 1,1 0 0,-1-1 0,1 0-1,0 0 1,0-1 0,0 0 0,0 0-1,1-1 1,-4-3 23,8 6 8,-1-1 0,1 0 0,0-1 0,1 1 0,-1 0 0,0-1 0,1 0 0,0 1 0,0-1 0,0 0 0,0 0 0,1 0 0,0 0-1,-1 0 1,1-1 0,1 1 0,-1 0 0,1-1 0,-1 1 0,1 0 0,1-1 0,-1 1 0,1 0 0,-1 0 0,2-4-8,0 0 31,1 0 1,-1 1-1,2-1 1,-1 0-1,1 1 1,0 0-1,1 0 1,-1 0 0,1 1-1,1-1 1,-1 1-1,1 0 1,0 1-1,1-1 1,-1 1-1,1 1 1,0-1-1,0 1 1,1 0-32,-1 1-20,0 0 0,0 0 0,0 0 0,0 1 0,0 0 0,1 1 1,-1 0-1,0 0 0,1 0 0,0 1 0,-1 0 0,1 1 0,-1-1 0,1 2 1,-1-1-1,0 1 0,1 0 0,-1 0 0,0 1 0,0 0 0,0 1 20,6 4-63,1 1 0,-2 1-1,1 0 1,-1 1-1,-1 0 1,0 0-1,-1 2 1,0-1-1,-1 1 1,0 1-1,-1-1 1,0 1-1,-1 1 1,2 7 63,10 31-28,-1 0 1,-3 2-1,2 26 28,22 97 355,-9 3 0,-1 62-355,-28-231-28,0-1 0,0 1 1,-2-1-1,1 1 0,-1-1 0,-1 1 1,0-1-1,-1 0 0,0 1 0,-4 9 28,6-20-21,1-1 1,0 1-1,-1 0 0,1-1 0,0 1 0,-1 0 0,1-1 0,-1 1 0,1 0 1,-1-1-1,0 1 0,1-1 0,-1 1 0,1-1 0,-1 1 0,0-1 1,0 1-1,1-1 0,-1 0 0,0 1 0,0-1 21,-8 5-2263,8-9-267,1-2 1656,-1 1 0,2-1 1,-1 1-1,1 0 1,0-1-1,0 1 1,0-1-1,1 1 0,0 0 1,0 0-1,0 0 1,3-4 873,5-9-2878,1 1 0,0 0 0,2 0 2878,18-20-4223</inkml:trace>
  <inkml:trace contextRef="#ctx0" brushRef="#br0" timeOffset="2082.69">2553 1659 14221,'-48'0'4357,"-11"-5"63,-6-8-2114,-5 1-897,-10-1-1409,0 0-32,0 2 0,4 4 64,7 7 64,10 0-128,10 4 160,7 2-1185,17 6-1569,7-6-897,18-6-577,0 0-192,0-16-64,25 1-1</inkml:trace>
  <inkml:trace contextRef="#ctx0" brushRef="#br0" timeOffset="2415.69">2735 1875 13196,'-19'11'289,"-7"-11"-257,8-4-2947,-6-14-1857,4-5 127</inkml:trace>
  <inkml:trace contextRef="#ctx0" brushRef="#br0" timeOffset="3250.09">2966 1618 3908,'0'40'377,"-2"-1"-1,-6 29-376,5-49 87,-1-1-1,-1 0 0,-1 0 0,0 0 0,-2 0 0,-4 8-86,4-18 3368,-11-7-1261,19-1-1843,-3-1 78,0-1 1,1 1-1,-1-1 1,1 0-1,-1 0 1,1 0-1,0 0 1,0 0-1,0-1 0,0 1 1,0-1-1,0 1 1,1-1-1,-1 0 1,1 1-1,0-1 0,0 0 1,-1-1-343,-2-6 840,-68-146 5827,-19-88-4477,59 156-2020,-34-100 132,-11-79-302,53 166 159,4-2 0,5 0 1,0-61-160,14 139 73,1 0 0,1 0 0,1 0 1,1 1-1,2-1 0,0 1 0,2 0 1,0 0-1,3-3-73,-5 15 29,0 1 1,1 0-1,1 0 1,0 0-1,0 1 1,1 0-1,0 0 1,1 1-1,0 0 1,0 1-1,1 0 1,0 0-1,1 1 1,-1 0 0,2 1-1,-1 0 1,0 1-1,11-3-29,2 1 12,1 1 1,0 1-1,0 2 1,1 0-1,-1 2 0,1 0 1,-1 2-1,1 1 1,-1 1-1,0 2 0,8 2-12,21 6-112,-1 3-1,0 3 0,-2 1 0,37 21 113,-18-3-40,-2 2 0,-1 3 0,-3 3 0,53 49 40,-70-52 65,-2 1 0,-3 2 0,-1 3 0,-2 1 0,-3 1 0,12 25-65,-34-51 65,-1 0 1,-1 1-1,-1 1 1,-2 0 0,0 0-1,2 18-65,-9-31 16,0 1 1,0-1-1,-1 0 0,-1 1 0,-1-1 0,0 0 0,-1 0 0,0 1 0,-1-1 0,0 0 1,-1-1-1,-1 1 0,-1-1 0,0 1-16,-5 6-41,-2-1 1,0 0-1,-1-2 1,0 1-1,-1-2 0,-2 0 1,1 0-1,-2-2 1,0 0-1,0-1 1,-2-1-1,1-1 0,-22 9 41,4-3-126,-1-2 0,0-2 0,-1-1 0,-1-3 0,1 0 1,-2-3-1,-15 0 126,16-5-38,1-1 0,0-2 1,0-2-1,0-1 0,1-2 1,0-2-1,0-2 0,1-1 1,0-1-1,1-3 0,0 0 1,2-3-1,0-1 0,1-1 1,1-2-1,1-1 0,1-1 1,2-2-1,-5-6 38,28 27 35,0 0-1,0 0 1,0-1 0,0 0-1,1 0 1,0 0 0,1 0-1,-2-6-34,4 12 15,1 0-1,0-1 1,-1 1-1,1 0 1,0-1-1,0 1 1,0 0-1,0-1 1,0 1-1,0 0 1,0-1-1,1 1 1,-1 0-1,0-1 1,1 1-1,-1 0 1,1 0-1,-1-1 1,1 1-1,0 0 1,0-1-15,1 1 22,-1-1 0,1 1 0,0 0 0,0 0 0,0 0 0,0 0 0,0 0 0,0 0 0,0 0 0,1 0 0,-1 1 0,0-1 0,0 1 0,1 0 0,-1 0 0,0 0 0,2 0-22,12 0 109,1 0 1,-1 2-1,0 0 1,1 1-1,10 3-109,82 29 424,-80-25-312,183 72 863,102 60-975,39 17 2,-311-141-128,2-2-1,-1-2 1,2-1-1,9-1 127,-40-9-57,-1-2 0,1 1 0,-1-2 0,1 0-1,-1 0 1,1-1 0,-1-1 0,1 0 0,-1-1 0,0-1 0,0 0 0,0 0 0,-1-1 0,1-1-1,-1 0 1,4-4 57,23-18-67,-2-3 0,0-1 0,19-23 67,29-27 148,-36 42 28,1 1-1,2 2 1,2 3 0,1 2-1,2 3 1,45-17-176,-23 17 97,2 3 1,1 3-1,0 4 0,70-6-97,-29 11-69,1 7 0,1 4 0,2 7 69,49 8-734,135 28 734,-69 8-2459,-2 9-3677,61 13-4076,-176-45 5316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6B875B690094EB376E50439058B69" ma:contentTypeVersion="13" ma:contentTypeDescription="Create a new document." ma:contentTypeScope="" ma:versionID="c3f6af4c7fbca794764a33d05e621404">
  <xsd:schema xmlns:xsd="http://www.w3.org/2001/XMLSchema" xmlns:xs="http://www.w3.org/2001/XMLSchema" xmlns:p="http://schemas.microsoft.com/office/2006/metadata/properties" xmlns:ns3="c6d8c062-6d10-4215-b97d-8f4fdb19623c" xmlns:ns4="386dc2d9-9d05-400c-8092-2ad595fba74b" targetNamespace="http://schemas.microsoft.com/office/2006/metadata/properties" ma:root="true" ma:fieldsID="875f12f619249d30d4525783332d2467" ns3:_="" ns4:_="">
    <xsd:import namespace="c6d8c062-6d10-4215-b97d-8f4fdb19623c"/>
    <xsd:import namespace="386dc2d9-9d05-400c-8092-2ad595fba7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8c062-6d10-4215-b97d-8f4fdb196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dc2d9-9d05-400c-8092-2ad595fba7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23FFE-45CE-4E35-8384-6420FA95D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39049-DA01-4E4C-A62C-3D31E16E2389}">
  <ds:schemaRefs>
    <ds:schemaRef ds:uri="http://schemas.microsoft.com/sharepoint/v3/contenttype/forms"/>
  </ds:schemaRefs>
</ds:datastoreItem>
</file>

<file path=customXml/itemProps3.xml><?xml version="1.0" encoding="utf-8"?>
<ds:datastoreItem xmlns:ds="http://schemas.openxmlformats.org/officeDocument/2006/customXml" ds:itemID="{30CBE53F-15DE-47A2-8A65-95F7F791B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8c062-6d10-4215-b97d-8f4fdb19623c"/>
    <ds:schemaRef ds:uri="386dc2d9-9d05-400c-8092-2ad595fba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HM Courts &amp; Tribunals Service letterhead</vt:lpstr>
    </vt:vector>
  </TitlesOfParts>
  <Manager>HM Courts &amp; Tribunals Service</Manager>
  <Company>HM Courts &amp; Tribunals Service</Company>
  <LinksUpToDate>false</LinksUpToDate>
  <CharactersWithSpaces>15382</CharactersWithSpaces>
  <SharedDoc>false</SharedDoc>
  <HLinks>
    <vt:vector size="6" baseType="variant">
      <vt:variant>
        <vt:i4>65591</vt:i4>
      </vt:variant>
      <vt:variant>
        <vt:i4>0</vt:i4>
      </vt:variant>
      <vt:variant>
        <vt:i4>0</vt:i4>
      </vt:variant>
      <vt:variant>
        <vt:i4>5</vt:i4>
      </vt:variant>
      <vt:variant>
        <vt:lpwstr>mailto:BradIACE-Fax@justice.gov.uk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Courts &amp; Tribunals Service letterhead</dc:title>
  <dc:subject>letterhead</dc:subject>
  <dc:creator>HM Courts &amp; Tribunals Service</dc:creator>
  <cp:keywords>HM Courts &amp; Tribunals Service, letter, letterhead,</cp:keywords>
  <dc:description/>
  <cp:lastModifiedBy>Natalie Wilkins</cp:lastModifiedBy>
  <cp:revision>2</cp:revision>
  <cp:lastPrinted>2020-03-19T11:30:00Z</cp:lastPrinted>
  <dcterms:created xsi:type="dcterms:W3CDTF">2020-03-24T22:28:00Z</dcterms:created>
  <dcterms:modified xsi:type="dcterms:W3CDTF">2020-03-24T22:28:00Z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0x0101003E46B875B690094EB376E50439058B69</vt:lpwstr>
  </property>
</Properties>
</file>